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FE14A" w14:textId="77777777" w:rsidR="00590CD1" w:rsidRPr="00B0743E" w:rsidRDefault="00590CD1">
      <w:pPr>
        <w:rPr>
          <w:rFonts w:ascii="Calibri" w:hAnsi="Calibri" w:cs="Calibri"/>
          <w:sz w:val="22"/>
          <w:szCs w:val="22"/>
        </w:rPr>
      </w:pPr>
    </w:p>
    <w:p w14:paraId="5AC959E8" w14:textId="77777777" w:rsidR="00590CD1" w:rsidRPr="00B0743E" w:rsidRDefault="00590CD1" w:rsidP="00590CD1">
      <w:pPr>
        <w:tabs>
          <w:tab w:val="center" w:pos="4320"/>
          <w:tab w:val="right" w:pos="8640"/>
        </w:tabs>
        <w:jc w:val="center"/>
        <w:rPr>
          <w:rFonts w:ascii="Calibri" w:eastAsia="Times New Roman" w:hAnsi="Calibri" w:cs="Calibri"/>
          <w:b/>
          <w:sz w:val="22"/>
          <w:szCs w:val="22"/>
        </w:rPr>
      </w:pPr>
      <w:r w:rsidRPr="00B0743E">
        <w:rPr>
          <w:rFonts w:ascii="Calibri" w:eastAsia="Times New Roman" w:hAnsi="Calibri" w:cs="Calibri"/>
          <w:noProof/>
          <w:sz w:val="22"/>
          <w:szCs w:val="22"/>
        </w:rPr>
        <w:drawing>
          <wp:inline distT="0" distB="0" distL="0" distR="0" wp14:anchorId="16E1703F" wp14:editId="619BE705">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116F97ED" w14:textId="77777777" w:rsidR="004B567D" w:rsidRDefault="004B567D" w:rsidP="002A660A">
      <w:pPr>
        <w:jc w:val="both"/>
        <w:rPr>
          <w:rFonts w:ascii="Calibri" w:eastAsia="Times New Roman" w:hAnsi="Calibri" w:cs="Calibri"/>
          <w:b/>
          <w:bCs/>
          <w:color w:val="000000"/>
          <w:sz w:val="22"/>
          <w:szCs w:val="22"/>
        </w:rPr>
      </w:pPr>
    </w:p>
    <w:p w14:paraId="7038CFCD" w14:textId="7217ADB3" w:rsidR="00590CD1" w:rsidRPr="002A660A" w:rsidRDefault="00590CD1" w:rsidP="002A660A">
      <w:pPr>
        <w:jc w:val="both"/>
        <w:rPr>
          <w:rFonts w:ascii="Calibri" w:hAnsi="Calibri" w:cs="Calibri"/>
          <w:b/>
          <w:bCs/>
          <w:color w:val="000000"/>
          <w:sz w:val="22"/>
          <w:szCs w:val="22"/>
        </w:rPr>
      </w:pPr>
      <w:r w:rsidRPr="00B0743E">
        <w:rPr>
          <w:rFonts w:ascii="Calibri" w:hAnsi="Calibri" w:cs="Calibri"/>
          <w:b/>
          <w:bCs/>
          <w:color w:val="000000"/>
          <w:sz w:val="22"/>
          <w:szCs w:val="22"/>
        </w:rPr>
        <w:t>FOR IMMEDIATE RELEASE       </w:t>
      </w:r>
      <w:r w:rsidRPr="00B0743E">
        <w:rPr>
          <w:rFonts w:ascii="Calibri" w:hAnsi="Calibri" w:cs="Calibri"/>
          <w:b/>
          <w:bCs/>
          <w:color w:val="000000"/>
          <w:sz w:val="22"/>
          <w:szCs w:val="22"/>
        </w:rPr>
        <w:tab/>
      </w:r>
      <w:r w:rsidRPr="00B0743E">
        <w:rPr>
          <w:rFonts w:ascii="Calibri" w:hAnsi="Calibri" w:cs="Calibri"/>
          <w:b/>
          <w:bCs/>
          <w:color w:val="000000"/>
          <w:sz w:val="22"/>
          <w:szCs w:val="22"/>
        </w:rPr>
        <w:tab/>
        <w:t>CONTACT:</w:t>
      </w:r>
      <w:r w:rsidRPr="00B0743E">
        <w:rPr>
          <w:rFonts w:ascii="Calibri" w:hAnsi="Calibri" w:cs="Calibri"/>
          <w:b/>
          <w:bCs/>
          <w:color w:val="000000"/>
          <w:sz w:val="22"/>
          <w:szCs w:val="22"/>
        </w:rPr>
        <w:tab/>
        <w:t>Lauren Estep</w:t>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t xml:space="preserve">                </w:t>
      </w:r>
      <w:r w:rsidR="00B0743E">
        <w:rPr>
          <w:rFonts w:ascii="Calibri" w:hAnsi="Calibri" w:cs="Calibri"/>
          <w:b/>
          <w:bCs/>
          <w:color w:val="000000"/>
          <w:sz w:val="22"/>
          <w:szCs w:val="22"/>
        </w:rPr>
        <w:tab/>
      </w:r>
      <w:r w:rsidR="00B0743E">
        <w:rPr>
          <w:rFonts w:ascii="Calibri" w:hAnsi="Calibri" w:cs="Calibri"/>
          <w:b/>
          <w:bCs/>
          <w:color w:val="000000"/>
          <w:sz w:val="22"/>
          <w:szCs w:val="22"/>
        </w:rPr>
        <w:tab/>
      </w:r>
      <w:r w:rsidR="002A660A">
        <w:rPr>
          <w:rFonts w:ascii="Calibri" w:hAnsi="Calibri" w:cs="Calibri"/>
          <w:b/>
          <w:bCs/>
          <w:color w:val="000000"/>
          <w:sz w:val="22"/>
          <w:szCs w:val="22"/>
        </w:rPr>
        <w:tab/>
      </w:r>
      <w:r w:rsidR="002A660A">
        <w:rPr>
          <w:rFonts w:ascii="Calibri" w:hAnsi="Calibri" w:cs="Calibri"/>
          <w:b/>
          <w:bCs/>
          <w:color w:val="000000"/>
          <w:sz w:val="22"/>
          <w:szCs w:val="22"/>
        </w:rPr>
        <w:tab/>
      </w:r>
      <w:r w:rsidRPr="00B0743E">
        <w:rPr>
          <w:rFonts w:ascii="Calibri" w:hAnsi="Calibri" w:cs="Calibri"/>
          <w:b/>
          <w:bCs/>
          <w:color w:val="000000"/>
          <w:sz w:val="22"/>
          <w:szCs w:val="22"/>
        </w:rPr>
        <w:t xml:space="preserve"> </w:t>
      </w:r>
      <w:r w:rsidRPr="00B0743E">
        <w:rPr>
          <w:rFonts w:ascii="Calibri" w:hAnsi="Calibri" w:cs="Calibri"/>
          <w:b/>
          <w:bCs/>
          <w:color w:val="000000"/>
          <w:spacing w:val="-4"/>
          <w:sz w:val="22"/>
          <w:szCs w:val="22"/>
        </w:rPr>
        <w:t>lestep@homefurnishingshalloffame.com</w:t>
      </w:r>
    </w:p>
    <w:p w14:paraId="4E88DE69" w14:textId="1FCBD2D6" w:rsidR="00590CD1" w:rsidRPr="00B0743E" w:rsidRDefault="00590CD1" w:rsidP="00590CD1">
      <w:pPr>
        <w:ind w:right="-450"/>
        <w:rPr>
          <w:rFonts w:ascii="Calibri" w:hAnsi="Calibri" w:cs="Calibri"/>
          <w:b/>
          <w:bCs/>
          <w:color w:val="000000"/>
          <w:sz w:val="22"/>
          <w:szCs w:val="22"/>
        </w:rPr>
      </w:pP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00B0743E">
        <w:rPr>
          <w:rFonts w:ascii="Calibri" w:hAnsi="Calibri" w:cs="Calibri"/>
          <w:b/>
          <w:bCs/>
          <w:color w:val="000000"/>
          <w:sz w:val="22"/>
          <w:szCs w:val="22"/>
        </w:rPr>
        <w:tab/>
      </w:r>
      <w:r w:rsidR="00B0743E">
        <w:rPr>
          <w:rFonts w:ascii="Calibri" w:hAnsi="Calibri" w:cs="Calibri"/>
          <w:b/>
          <w:bCs/>
          <w:color w:val="000000"/>
          <w:sz w:val="22"/>
          <w:szCs w:val="22"/>
        </w:rPr>
        <w:tab/>
        <w:t xml:space="preserve"> </w:t>
      </w:r>
      <w:r w:rsidRPr="00B0743E">
        <w:rPr>
          <w:rFonts w:ascii="Calibri" w:hAnsi="Calibri" w:cs="Calibri"/>
          <w:b/>
          <w:bCs/>
          <w:color w:val="000000"/>
          <w:sz w:val="22"/>
          <w:szCs w:val="22"/>
        </w:rPr>
        <w:t>American Home Furnishings Hall of Fame</w:t>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Pr="00B0743E">
        <w:rPr>
          <w:rFonts w:ascii="Calibri" w:hAnsi="Calibri" w:cs="Calibri"/>
          <w:b/>
          <w:bCs/>
          <w:color w:val="000000"/>
          <w:sz w:val="22"/>
          <w:szCs w:val="22"/>
        </w:rPr>
        <w:tab/>
      </w:r>
      <w:r w:rsidR="00B0743E">
        <w:rPr>
          <w:rFonts w:ascii="Calibri" w:hAnsi="Calibri" w:cs="Calibri"/>
          <w:b/>
          <w:bCs/>
          <w:color w:val="000000"/>
          <w:sz w:val="22"/>
          <w:szCs w:val="22"/>
        </w:rPr>
        <w:tab/>
        <w:t xml:space="preserve"> </w:t>
      </w:r>
      <w:r w:rsidRPr="00B0743E">
        <w:rPr>
          <w:rFonts w:ascii="Calibri" w:hAnsi="Calibri" w:cs="Calibri"/>
          <w:b/>
          <w:bCs/>
          <w:color w:val="000000"/>
          <w:sz w:val="22"/>
          <w:szCs w:val="22"/>
        </w:rPr>
        <w:t>336.882.5900</w:t>
      </w:r>
    </w:p>
    <w:p w14:paraId="73C9548F" w14:textId="77777777" w:rsidR="00590CD1" w:rsidRPr="00B0743E" w:rsidRDefault="00590CD1" w:rsidP="00590CD1">
      <w:pPr>
        <w:jc w:val="center"/>
        <w:rPr>
          <w:rFonts w:ascii="Calibri" w:hAnsi="Calibri" w:cs="Calibri"/>
          <w:b/>
          <w:bCs/>
          <w:color w:val="000000"/>
          <w:sz w:val="22"/>
          <w:szCs w:val="22"/>
          <w:u w:val="single"/>
        </w:rPr>
      </w:pPr>
    </w:p>
    <w:p w14:paraId="0DBDD9CE" w14:textId="692DDB0F" w:rsidR="00590CD1" w:rsidRPr="00B0743E" w:rsidRDefault="00590CD1" w:rsidP="00590CD1">
      <w:pPr>
        <w:jc w:val="center"/>
        <w:rPr>
          <w:rFonts w:ascii="Calibri" w:hAnsi="Calibri" w:cs="Calibri"/>
          <w:b/>
          <w:bCs/>
          <w:color w:val="000000"/>
          <w:sz w:val="22"/>
          <w:szCs w:val="22"/>
          <w:u w:val="single"/>
        </w:rPr>
      </w:pPr>
      <w:r w:rsidRPr="00B0743E">
        <w:rPr>
          <w:rFonts w:ascii="Calibri" w:hAnsi="Calibri" w:cs="Calibri"/>
          <w:b/>
          <w:bCs/>
          <w:color w:val="000000"/>
          <w:sz w:val="22"/>
          <w:szCs w:val="22"/>
          <w:u w:val="single"/>
        </w:rPr>
        <w:br/>
        <w:t xml:space="preserve">NEW SPECIAL EXHIBIT AT AMERICAN HOME FURNISHINGS HALL FAME EXPLORES </w:t>
      </w:r>
      <w:r w:rsidRPr="00B0743E">
        <w:rPr>
          <w:rFonts w:ascii="Calibri" w:hAnsi="Calibri" w:cs="Calibri"/>
          <w:b/>
          <w:bCs/>
          <w:color w:val="000000"/>
          <w:sz w:val="22"/>
          <w:szCs w:val="22"/>
          <w:u w:val="single"/>
        </w:rPr>
        <w:br/>
      </w:r>
      <w:r w:rsidR="00B0743E">
        <w:rPr>
          <w:rFonts w:ascii="Calibri" w:hAnsi="Calibri" w:cs="Calibri"/>
          <w:b/>
          <w:bCs/>
          <w:color w:val="000000"/>
          <w:sz w:val="22"/>
          <w:szCs w:val="22"/>
          <w:u w:val="single"/>
        </w:rPr>
        <w:t>LIGHTING’S</w:t>
      </w:r>
      <w:r w:rsidRPr="00B0743E">
        <w:rPr>
          <w:rFonts w:ascii="Calibri" w:hAnsi="Calibri" w:cs="Calibri"/>
          <w:b/>
          <w:bCs/>
          <w:color w:val="000000"/>
          <w:sz w:val="22"/>
          <w:szCs w:val="22"/>
          <w:u w:val="single"/>
        </w:rPr>
        <w:t xml:space="preserve"> ROLE IN </w:t>
      </w:r>
      <w:r w:rsidR="005546B4">
        <w:rPr>
          <w:rFonts w:ascii="Calibri" w:hAnsi="Calibri" w:cs="Calibri"/>
          <w:b/>
          <w:bCs/>
          <w:color w:val="000000"/>
          <w:sz w:val="22"/>
          <w:szCs w:val="22"/>
          <w:u w:val="single"/>
        </w:rPr>
        <w:t>ILLUMINATING AND ENLIVENING HOMES</w:t>
      </w:r>
      <w:r w:rsidRPr="00B0743E">
        <w:rPr>
          <w:rFonts w:ascii="Calibri" w:hAnsi="Calibri" w:cs="Calibri"/>
          <w:b/>
          <w:bCs/>
          <w:color w:val="000000"/>
          <w:sz w:val="22"/>
          <w:szCs w:val="22"/>
          <w:u w:val="single"/>
        </w:rPr>
        <w:t xml:space="preserve"> </w:t>
      </w:r>
    </w:p>
    <w:p w14:paraId="47595E05" w14:textId="77777777" w:rsidR="00590CD1" w:rsidRPr="00B0743E" w:rsidRDefault="00590CD1" w:rsidP="00590CD1">
      <w:pPr>
        <w:ind w:firstLine="720"/>
        <w:rPr>
          <w:rFonts w:ascii="Calibri" w:hAnsi="Calibri" w:cs="Calibri"/>
          <w:b/>
          <w:bCs/>
          <w:sz w:val="22"/>
          <w:szCs w:val="22"/>
        </w:rPr>
      </w:pPr>
    </w:p>
    <w:p w14:paraId="4A78C9C5" w14:textId="6FC4DEBB" w:rsidR="00590CD1" w:rsidRPr="00B0743E" w:rsidRDefault="00590CD1" w:rsidP="00590CD1">
      <w:pPr>
        <w:ind w:firstLine="720"/>
        <w:jc w:val="both"/>
        <w:rPr>
          <w:rFonts w:ascii="Calibri" w:hAnsi="Calibri" w:cs="Calibri"/>
          <w:sz w:val="22"/>
          <w:szCs w:val="22"/>
        </w:rPr>
      </w:pPr>
      <w:r w:rsidRPr="00B0743E">
        <w:rPr>
          <w:rFonts w:ascii="Calibri" w:hAnsi="Calibri" w:cs="Calibri"/>
          <w:b/>
          <w:bCs/>
          <w:sz w:val="22"/>
          <w:szCs w:val="22"/>
        </w:rPr>
        <w:t>HIGH POINT, N.C.</w:t>
      </w:r>
      <w:r w:rsidRPr="00B0743E">
        <w:rPr>
          <w:rFonts w:ascii="Calibri" w:hAnsi="Calibri" w:cs="Calibri"/>
          <w:b/>
          <w:bCs/>
          <w:vanish/>
          <w:sz w:val="22"/>
          <w:szCs w:val="22"/>
        </w:rPr>
        <w:t>&lt;&lt; &gt;&gt;&gt;</w:t>
      </w:r>
      <w:r w:rsidRPr="00B0743E">
        <w:rPr>
          <w:rFonts w:ascii="Calibri" w:hAnsi="Calibri" w:cs="Calibri"/>
          <w:b/>
          <w:bCs/>
          <w:sz w:val="22"/>
          <w:szCs w:val="22"/>
        </w:rPr>
        <w:t xml:space="preserve">, </w:t>
      </w:r>
      <w:r w:rsidR="00FF38EA" w:rsidRPr="00FF38EA">
        <w:rPr>
          <w:rFonts w:ascii="Calibri" w:hAnsi="Calibri" w:cs="Calibri"/>
          <w:b/>
          <w:bCs/>
          <w:sz w:val="22"/>
          <w:szCs w:val="22"/>
        </w:rPr>
        <w:t xml:space="preserve">Oct. </w:t>
      </w:r>
      <w:r w:rsidR="000F4F99">
        <w:rPr>
          <w:rFonts w:ascii="Calibri" w:hAnsi="Calibri" w:cs="Calibri"/>
          <w:b/>
          <w:bCs/>
          <w:sz w:val="22"/>
          <w:szCs w:val="22"/>
        </w:rPr>
        <w:t>9</w:t>
      </w:r>
      <w:r w:rsidRPr="00FF38EA">
        <w:rPr>
          <w:rFonts w:ascii="Calibri" w:hAnsi="Calibri" w:cs="Calibri"/>
          <w:b/>
          <w:bCs/>
          <w:sz w:val="22"/>
          <w:szCs w:val="22"/>
        </w:rPr>
        <w:t>, 2025</w:t>
      </w:r>
      <w:r w:rsidRPr="00B0743E">
        <w:rPr>
          <w:rFonts w:ascii="Calibri" w:hAnsi="Calibri" w:cs="Calibri"/>
          <w:b/>
          <w:bCs/>
          <w:sz w:val="22"/>
          <w:szCs w:val="22"/>
        </w:rPr>
        <w:t xml:space="preserve"> </w:t>
      </w:r>
      <w:r w:rsidRPr="00B0743E">
        <w:rPr>
          <w:rFonts w:ascii="Calibri" w:hAnsi="Calibri" w:cs="Calibri"/>
          <w:sz w:val="22"/>
          <w:szCs w:val="22"/>
        </w:rPr>
        <w:t xml:space="preserve">— A new </w:t>
      </w:r>
      <w:r w:rsidR="005546B4">
        <w:rPr>
          <w:rFonts w:ascii="Calibri" w:hAnsi="Calibri" w:cs="Calibri"/>
          <w:sz w:val="22"/>
          <w:szCs w:val="22"/>
        </w:rPr>
        <w:t>special</w:t>
      </w:r>
      <w:r w:rsidRPr="00B0743E">
        <w:rPr>
          <w:rFonts w:ascii="Calibri" w:hAnsi="Calibri" w:cs="Calibri"/>
          <w:sz w:val="22"/>
          <w:szCs w:val="22"/>
        </w:rPr>
        <w:t xml:space="preserve"> exhibit exploring the major role that quality lighting plays in delivering </w:t>
      </w:r>
      <w:r w:rsidR="005546B4">
        <w:rPr>
          <w:rFonts w:ascii="Calibri" w:hAnsi="Calibri" w:cs="Calibri"/>
          <w:sz w:val="22"/>
          <w:szCs w:val="22"/>
        </w:rPr>
        <w:t>fashion</w:t>
      </w:r>
      <w:r w:rsidRPr="00B0743E">
        <w:rPr>
          <w:rFonts w:ascii="Calibri" w:hAnsi="Calibri" w:cs="Calibri"/>
          <w:sz w:val="22"/>
          <w:szCs w:val="22"/>
        </w:rPr>
        <w:t xml:space="preserve"> and function to homes is debuting Oct. 25 at the American Home Furnishings Hall of Fame, 311 S. Hamilton St., during the High Point Market.</w:t>
      </w:r>
    </w:p>
    <w:p w14:paraId="1F2060F7" w14:textId="77777777" w:rsidR="00590CD1" w:rsidRPr="00B0743E" w:rsidRDefault="00590CD1">
      <w:pPr>
        <w:rPr>
          <w:rFonts w:ascii="Calibri" w:hAnsi="Calibri" w:cs="Calibri"/>
          <w:sz w:val="22"/>
          <w:szCs w:val="22"/>
        </w:rPr>
      </w:pPr>
    </w:p>
    <w:p w14:paraId="4BCD74C9" w14:textId="68DA8551" w:rsidR="00A879FD" w:rsidRPr="00B0743E" w:rsidRDefault="00590CD1" w:rsidP="00FF38EA">
      <w:pPr>
        <w:jc w:val="both"/>
        <w:rPr>
          <w:rFonts w:ascii="Calibri" w:hAnsi="Calibri" w:cs="Calibri"/>
          <w:sz w:val="22"/>
          <w:szCs w:val="22"/>
        </w:rPr>
      </w:pPr>
      <w:r w:rsidRPr="00B0743E">
        <w:rPr>
          <w:rFonts w:ascii="Calibri" w:hAnsi="Calibri" w:cs="Calibri"/>
          <w:sz w:val="22"/>
          <w:szCs w:val="22"/>
        </w:rPr>
        <w:tab/>
        <w:t xml:space="preserve">The exhibit, called the Art of Illumination, will officially open </w:t>
      </w:r>
      <w:r w:rsidR="00A879FD" w:rsidRPr="00B0743E">
        <w:rPr>
          <w:rFonts w:ascii="Calibri" w:hAnsi="Calibri" w:cs="Calibri"/>
          <w:sz w:val="22"/>
          <w:szCs w:val="22"/>
        </w:rPr>
        <w:t xml:space="preserve">at 11 a.m. on Saturday, Oct. </w:t>
      </w:r>
      <w:r w:rsidRPr="00B0743E">
        <w:rPr>
          <w:rFonts w:ascii="Calibri" w:hAnsi="Calibri" w:cs="Calibri"/>
          <w:sz w:val="22"/>
          <w:szCs w:val="22"/>
        </w:rPr>
        <w:t>25</w:t>
      </w:r>
      <w:r w:rsidR="00A879FD" w:rsidRPr="00B0743E">
        <w:rPr>
          <w:rFonts w:ascii="Calibri" w:hAnsi="Calibri" w:cs="Calibri"/>
          <w:sz w:val="22"/>
          <w:szCs w:val="22"/>
        </w:rPr>
        <w:t xml:space="preserve">, with </w:t>
      </w:r>
      <w:r w:rsidR="005546B4">
        <w:rPr>
          <w:rFonts w:ascii="Calibri" w:hAnsi="Calibri" w:cs="Calibri"/>
          <w:sz w:val="22"/>
          <w:szCs w:val="22"/>
        </w:rPr>
        <w:t xml:space="preserve">a </w:t>
      </w:r>
      <w:r w:rsidR="0082572A" w:rsidRPr="00B0743E">
        <w:rPr>
          <w:rFonts w:ascii="Calibri" w:hAnsi="Calibri" w:cs="Calibri"/>
          <w:sz w:val="22"/>
          <w:szCs w:val="22"/>
        </w:rPr>
        <w:t xml:space="preserve">champagne </w:t>
      </w:r>
      <w:r w:rsidR="00A879FD" w:rsidRPr="00B0743E">
        <w:rPr>
          <w:rFonts w:ascii="Calibri" w:hAnsi="Calibri" w:cs="Calibri"/>
          <w:sz w:val="22"/>
          <w:szCs w:val="22"/>
        </w:rPr>
        <w:t>ribbon</w:t>
      </w:r>
      <w:r w:rsidRPr="00B0743E">
        <w:rPr>
          <w:rFonts w:ascii="Calibri" w:hAnsi="Calibri" w:cs="Calibri"/>
          <w:sz w:val="22"/>
          <w:szCs w:val="22"/>
        </w:rPr>
        <w:t>-</w:t>
      </w:r>
      <w:r w:rsidR="00A879FD" w:rsidRPr="00B0743E">
        <w:rPr>
          <w:rFonts w:ascii="Calibri" w:hAnsi="Calibri" w:cs="Calibri"/>
          <w:sz w:val="22"/>
          <w:szCs w:val="22"/>
        </w:rPr>
        <w:t xml:space="preserve">cutting ceremony. The exhibit </w:t>
      </w:r>
      <w:r w:rsidR="0082572A">
        <w:rPr>
          <w:rFonts w:ascii="Calibri" w:hAnsi="Calibri" w:cs="Calibri"/>
          <w:sz w:val="22"/>
          <w:szCs w:val="22"/>
        </w:rPr>
        <w:t xml:space="preserve">has </w:t>
      </w:r>
      <w:r w:rsidR="0082572A" w:rsidRPr="004B567D">
        <w:rPr>
          <w:rFonts w:ascii="Calibri" w:hAnsi="Calibri" w:cs="Calibri"/>
          <w:sz w:val="22"/>
          <w:szCs w:val="22"/>
        </w:rPr>
        <w:t>been</w:t>
      </w:r>
      <w:r w:rsidR="00A879FD" w:rsidRPr="004B567D">
        <w:rPr>
          <w:rFonts w:ascii="Calibri" w:hAnsi="Calibri" w:cs="Calibri"/>
          <w:sz w:val="22"/>
          <w:szCs w:val="22"/>
        </w:rPr>
        <w:t xml:space="preserve"> </w:t>
      </w:r>
      <w:r w:rsidR="0082572A" w:rsidRPr="004B567D">
        <w:rPr>
          <w:rFonts w:ascii="Calibri" w:hAnsi="Calibri" w:cs="Calibri"/>
          <w:sz w:val="22"/>
          <w:szCs w:val="22"/>
        </w:rPr>
        <w:t>designed and curated</w:t>
      </w:r>
      <w:r w:rsidR="00A879FD" w:rsidRPr="004B567D">
        <w:rPr>
          <w:rFonts w:ascii="Calibri" w:hAnsi="Calibri" w:cs="Calibri"/>
          <w:sz w:val="22"/>
          <w:szCs w:val="22"/>
        </w:rPr>
        <w:t xml:space="preserve"> by Currey &amp; Co</w:t>
      </w:r>
      <w:r w:rsidR="0003386D">
        <w:rPr>
          <w:rFonts w:ascii="Calibri" w:hAnsi="Calibri" w:cs="Calibri"/>
          <w:sz w:val="22"/>
          <w:szCs w:val="22"/>
        </w:rPr>
        <w:t>mpany</w:t>
      </w:r>
      <w:r w:rsidR="00A879FD" w:rsidRPr="004B567D">
        <w:rPr>
          <w:rFonts w:ascii="Calibri" w:hAnsi="Calibri" w:cs="Calibri"/>
          <w:sz w:val="22"/>
          <w:szCs w:val="22"/>
        </w:rPr>
        <w:t xml:space="preserve">, </w:t>
      </w:r>
      <w:r w:rsidR="006505AE" w:rsidRPr="004B567D">
        <w:rPr>
          <w:rFonts w:ascii="Calibri" w:hAnsi="Calibri" w:cs="Calibri"/>
          <w:sz w:val="22"/>
          <w:szCs w:val="22"/>
        </w:rPr>
        <w:t>an Atlanta-based</w:t>
      </w:r>
      <w:r w:rsidR="00A879FD" w:rsidRPr="004B567D">
        <w:rPr>
          <w:rFonts w:ascii="Calibri" w:hAnsi="Calibri" w:cs="Calibri"/>
          <w:sz w:val="22"/>
          <w:szCs w:val="22"/>
        </w:rPr>
        <w:t xml:space="preserve"> source for in-house-designed home furnishings, including lighting, furniture, accessories and outdoor products</w:t>
      </w:r>
      <w:r w:rsidRPr="004B567D">
        <w:rPr>
          <w:rFonts w:ascii="Calibri" w:hAnsi="Calibri" w:cs="Calibri"/>
          <w:sz w:val="22"/>
          <w:szCs w:val="22"/>
        </w:rPr>
        <w:t>.</w:t>
      </w:r>
      <w:r w:rsidRPr="004B567D">
        <w:rPr>
          <w:rFonts w:ascii="Calibri" w:hAnsi="Calibri" w:cs="Calibri"/>
          <w:sz w:val="22"/>
          <w:szCs w:val="22"/>
        </w:rPr>
        <w:tab/>
      </w:r>
      <w:r w:rsidR="00E4660D" w:rsidRPr="004B567D">
        <w:rPr>
          <w:rFonts w:ascii="Calibri" w:hAnsi="Calibri" w:cs="Calibri"/>
          <w:sz w:val="22"/>
          <w:szCs w:val="22"/>
        </w:rPr>
        <w:t>The Hall of Fame Creative Team has included David Gebhart,</w:t>
      </w:r>
      <w:r w:rsidR="00FD1EC0" w:rsidRPr="004B567D">
        <w:rPr>
          <w:rFonts w:ascii="Calibri" w:hAnsi="Calibri" w:cs="Calibri"/>
          <w:sz w:val="22"/>
          <w:szCs w:val="22"/>
        </w:rPr>
        <w:t xml:space="preserve"> founder of Global Views; </w:t>
      </w:r>
      <w:r w:rsidR="00E4660D" w:rsidRPr="004B567D">
        <w:rPr>
          <w:rFonts w:ascii="Calibri" w:hAnsi="Calibri" w:cs="Calibri"/>
          <w:sz w:val="22"/>
          <w:szCs w:val="22"/>
        </w:rPr>
        <w:t xml:space="preserve">Caroline Hipple, </w:t>
      </w:r>
      <w:r w:rsidR="00FD1EC0" w:rsidRPr="004B567D">
        <w:rPr>
          <w:rFonts w:ascii="Calibri" w:hAnsi="Calibri" w:cs="Calibri"/>
          <w:sz w:val="22"/>
          <w:szCs w:val="22"/>
        </w:rPr>
        <w:t xml:space="preserve">HB2; </w:t>
      </w:r>
      <w:r w:rsidR="00E4660D" w:rsidRPr="004B567D">
        <w:rPr>
          <w:rFonts w:ascii="Calibri" w:hAnsi="Calibri" w:cs="Calibri"/>
          <w:sz w:val="22"/>
          <w:szCs w:val="22"/>
        </w:rPr>
        <w:t>Kyle Hughes</w:t>
      </w:r>
      <w:r w:rsidR="00FD1EC0" w:rsidRPr="004B567D">
        <w:rPr>
          <w:rFonts w:ascii="Calibri" w:hAnsi="Calibri" w:cs="Calibri"/>
          <w:sz w:val="22"/>
          <w:szCs w:val="22"/>
        </w:rPr>
        <w:t>, Hall of Fame Historian and Curator;</w:t>
      </w:r>
      <w:r w:rsidR="00E4660D" w:rsidRPr="004B567D">
        <w:rPr>
          <w:rFonts w:ascii="Calibri" w:hAnsi="Calibri" w:cs="Calibri"/>
          <w:sz w:val="22"/>
          <w:szCs w:val="22"/>
        </w:rPr>
        <w:t xml:space="preserve"> and Karen McNeill</w:t>
      </w:r>
      <w:r w:rsidR="00FD1EC0" w:rsidRPr="004B567D">
        <w:rPr>
          <w:rFonts w:ascii="Calibri" w:hAnsi="Calibri" w:cs="Calibri"/>
          <w:sz w:val="22"/>
          <w:szCs w:val="22"/>
        </w:rPr>
        <w:t>, Hall of Fame Executive Chairman</w:t>
      </w:r>
      <w:r w:rsidR="00E4660D" w:rsidRPr="004B567D">
        <w:rPr>
          <w:rFonts w:ascii="Calibri" w:hAnsi="Calibri" w:cs="Calibri"/>
          <w:sz w:val="22"/>
          <w:szCs w:val="22"/>
        </w:rPr>
        <w:t>.</w:t>
      </w:r>
    </w:p>
    <w:p w14:paraId="44DD2F55" w14:textId="77777777" w:rsidR="00A879FD" w:rsidRPr="00B0743E" w:rsidRDefault="00A879FD" w:rsidP="00FF38EA">
      <w:pPr>
        <w:jc w:val="both"/>
        <w:rPr>
          <w:rFonts w:ascii="Calibri" w:hAnsi="Calibri" w:cs="Calibri"/>
          <w:sz w:val="22"/>
          <w:szCs w:val="22"/>
        </w:rPr>
      </w:pPr>
    </w:p>
    <w:p w14:paraId="2D9C0EF3" w14:textId="741BA5B0" w:rsidR="00A879FD" w:rsidRPr="00B0743E" w:rsidRDefault="00A879FD" w:rsidP="00FF38EA">
      <w:pPr>
        <w:ind w:firstLine="720"/>
        <w:jc w:val="both"/>
        <w:rPr>
          <w:rFonts w:ascii="Calibri" w:hAnsi="Calibri" w:cs="Calibri"/>
          <w:sz w:val="22"/>
          <w:szCs w:val="22"/>
        </w:rPr>
      </w:pPr>
      <w:r w:rsidRPr="00B0743E">
        <w:rPr>
          <w:rFonts w:ascii="Calibri" w:hAnsi="Calibri" w:cs="Calibri"/>
          <w:sz w:val="22"/>
          <w:szCs w:val="22"/>
        </w:rPr>
        <w:t>“Currey &amp; Co</w:t>
      </w:r>
      <w:r w:rsidR="0003386D">
        <w:rPr>
          <w:rFonts w:ascii="Calibri" w:hAnsi="Calibri" w:cs="Calibri"/>
          <w:sz w:val="22"/>
          <w:szCs w:val="22"/>
        </w:rPr>
        <w:t>mpany</w:t>
      </w:r>
      <w:r w:rsidRPr="00B0743E">
        <w:rPr>
          <w:rFonts w:ascii="Calibri" w:hAnsi="Calibri" w:cs="Calibri"/>
          <w:sz w:val="22"/>
          <w:szCs w:val="22"/>
        </w:rPr>
        <w:t xml:space="preserve"> is thrilled to be a part of the Art of Illumination Exhibit at the American Home Furnishings Hall of Fame,” sa</w:t>
      </w:r>
      <w:r w:rsidR="0082572A">
        <w:rPr>
          <w:rFonts w:ascii="Calibri" w:hAnsi="Calibri" w:cs="Calibri"/>
          <w:sz w:val="22"/>
          <w:szCs w:val="22"/>
        </w:rPr>
        <w:t>ys</w:t>
      </w:r>
      <w:r w:rsidRPr="00B0743E">
        <w:rPr>
          <w:rFonts w:ascii="Calibri" w:hAnsi="Calibri" w:cs="Calibri"/>
          <w:sz w:val="22"/>
          <w:szCs w:val="22"/>
        </w:rPr>
        <w:t xml:space="preserve"> Cecil Adams, vice president and creative director at Currey</w:t>
      </w:r>
      <w:r w:rsidR="00172875">
        <w:rPr>
          <w:rFonts w:ascii="Calibri" w:hAnsi="Calibri" w:cs="Calibri"/>
          <w:sz w:val="22"/>
          <w:szCs w:val="22"/>
        </w:rPr>
        <w:t xml:space="preserve"> &amp; Co</w:t>
      </w:r>
      <w:r w:rsidR="0003386D">
        <w:rPr>
          <w:rFonts w:ascii="Calibri" w:hAnsi="Calibri" w:cs="Calibri"/>
          <w:sz w:val="22"/>
          <w:szCs w:val="22"/>
        </w:rPr>
        <w:t>mpany</w:t>
      </w:r>
      <w:r w:rsidR="005F0AEA">
        <w:rPr>
          <w:rFonts w:ascii="Calibri" w:hAnsi="Calibri" w:cs="Calibri"/>
          <w:sz w:val="22"/>
          <w:szCs w:val="22"/>
        </w:rPr>
        <w:t>.</w:t>
      </w:r>
      <w:r w:rsidRPr="00B0743E">
        <w:rPr>
          <w:rFonts w:ascii="Calibri" w:hAnsi="Calibri" w:cs="Calibri"/>
          <w:sz w:val="22"/>
          <w:szCs w:val="22"/>
        </w:rPr>
        <w:t xml:space="preserve"> “The </w:t>
      </w:r>
      <w:r w:rsidRPr="00F727EA">
        <w:rPr>
          <w:rFonts w:ascii="Calibri" w:hAnsi="Calibri" w:cs="Calibri"/>
          <w:sz w:val="22"/>
          <w:szCs w:val="22"/>
        </w:rPr>
        <w:t xml:space="preserve">exhibit </w:t>
      </w:r>
      <w:r w:rsidR="0082572A" w:rsidRPr="00F727EA">
        <w:rPr>
          <w:rFonts w:ascii="Calibri" w:hAnsi="Calibri" w:cs="Calibri"/>
          <w:sz w:val="22"/>
          <w:szCs w:val="22"/>
        </w:rPr>
        <w:t>walks through</w:t>
      </w:r>
      <w:r w:rsidRPr="00F727EA">
        <w:rPr>
          <w:rFonts w:ascii="Calibri" w:hAnsi="Calibri" w:cs="Calibri"/>
          <w:sz w:val="22"/>
          <w:szCs w:val="22"/>
        </w:rPr>
        <w:t xml:space="preserve"> the</w:t>
      </w:r>
      <w:r w:rsidRPr="00B0743E">
        <w:rPr>
          <w:rFonts w:ascii="Calibri" w:hAnsi="Calibri" w:cs="Calibri"/>
          <w:sz w:val="22"/>
          <w:szCs w:val="22"/>
        </w:rPr>
        <w:t xml:space="preserve"> evolution of lighting </w:t>
      </w:r>
      <w:r w:rsidR="00C41004">
        <w:rPr>
          <w:rFonts w:ascii="Calibri" w:hAnsi="Calibri" w:cs="Calibri"/>
          <w:sz w:val="22"/>
          <w:szCs w:val="22"/>
        </w:rPr>
        <w:t xml:space="preserve">over time </w:t>
      </w:r>
      <w:r w:rsidR="00A059A9">
        <w:rPr>
          <w:rFonts w:ascii="Calibri" w:hAnsi="Calibri" w:cs="Calibri"/>
          <w:sz w:val="22"/>
          <w:szCs w:val="22"/>
        </w:rPr>
        <w:t>and</w:t>
      </w:r>
      <w:r w:rsidR="006505AE">
        <w:rPr>
          <w:rFonts w:ascii="Calibri" w:hAnsi="Calibri" w:cs="Calibri"/>
          <w:sz w:val="22"/>
          <w:szCs w:val="22"/>
        </w:rPr>
        <w:t xml:space="preserve"> </w:t>
      </w:r>
      <w:r w:rsidR="0082572A">
        <w:rPr>
          <w:rFonts w:ascii="Calibri" w:hAnsi="Calibri" w:cs="Calibri"/>
          <w:sz w:val="22"/>
          <w:szCs w:val="22"/>
        </w:rPr>
        <w:t xml:space="preserve">has been </w:t>
      </w:r>
      <w:r w:rsidR="00C41004">
        <w:rPr>
          <w:rFonts w:ascii="Calibri" w:hAnsi="Calibri" w:cs="Calibri"/>
          <w:sz w:val="22"/>
          <w:szCs w:val="22"/>
        </w:rPr>
        <w:t xml:space="preserve">designed to </w:t>
      </w:r>
      <w:r w:rsidR="006505AE">
        <w:rPr>
          <w:rFonts w:ascii="Calibri" w:hAnsi="Calibri" w:cs="Calibri"/>
          <w:sz w:val="22"/>
          <w:szCs w:val="22"/>
        </w:rPr>
        <w:t xml:space="preserve">inspire and amaze </w:t>
      </w:r>
      <w:r w:rsidR="00C41004">
        <w:rPr>
          <w:rFonts w:ascii="Calibri" w:hAnsi="Calibri" w:cs="Calibri"/>
          <w:sz w:val="22"/>
          <w:szCs w:val="22"/>
        </w:rPr>
        <w:t>c</w:t>
      </w:r>
      <w:r w:rsidR="006505AE">
        <w:rPr>
          <w:rFonts w:ascii="Calibri" w:hAnsi="Calibri" w:cs="Calibri"/>
          <w:sz w:val="22"/>
          <w:szCs w:val="22"/>
        </w:rPr>
        <w:t>onsumers and industry veterans alike.</w:t>
      </w:r>
      <w:r w:rsidR="00A059A9">
        <w:rPr>
          <w:rFonts w:ascii="Calibri" w:hAnsi="Calibri" w:cs="Calibri"/>
          <w:sz w:val="22"/>
          <w:szCs w:val="22"/>
        </w:rPr>
        <w:t xml:space="preserve"> It</w:t>
      </w:r>
      <w:r w:rsidR="00A059A9" w:rsidRPr="00B0743E">
        <w:rPr>
          <w:rFonts w:ascii="Calibri" w:hAnsi="Calibri" w:cs="Calibri"/>
          <w:sz w:val="22"/>
          <w:szCs w:val="22"/>
        </w:rPr>
        <w:t xml:space="preserve"> is a wonderful way to showcase this </w:t>
      </w:r>
      <w:r w:rsidR="00C41004">
        <w:rPr>
          <w:rFonts w:ascii="Calibri" w:hAnsi="Calibri" w:cs="Calibri"/>
          <w:sz w:val="22"/>
          <w:szCs w:val="22"/>
        </w:rPr>
        <w:t xml:space="preserve">essential </w:t>
      </w:r>
      <w:r w:rsidR="00A059A9" w:rsidRPr="00B0743E">
        <w:rPr>
          <w:rFonts w:ascii="Calibri" w:hAnsi="Calibri" w:cs="Calibri"/>
          <w:sz w:val="22"/>
          <w:szCs w:val="22"/>
        </w:rPr>
        <w:t>category of home furnishings</w:t>
      </w:r>
      <w:r w:rsidR="005D7ECB">
        <w:rPr>
          <w:rFonts w:ascii="Calibri" w:hAnsi="Calibri" w:cs="Calibri"/>
          <w:sz w:val="22"/>
          <w:szCs w:val="22"/>
        </w:rPr>
        <w:t xml:space="preserve"> and </w:t>
      </w:r>
      <w:r w:rsidR="0082572A">
        <w:rPr>
          <w:rFonts w:ascii="Calibri" w:hAnsi="Calibri" w:cs="Calibri"/>
          <w:sz w:val="22"/>
          <w:szCs w:val="22"/>
        </w:rPr>
        <w:t>to encourage</w:t>
      </w:r>
      <w:r w:rsidR="005D7ECB">
        <w:rPr>
          <w:rFonts w:ascii="Calibri" w:hAnsi="Calibri" w:cs="Calibri"/>
          <w:sz w:val="22"/>
          <w:szCs w:val="22"/>
        </w:rPr>
        <w:t xml:space="preserve"> visitors to </w:t>
      </w:r>
      <w:r w:rsidR="0082572A">
        <w:rPr>
          <w:rFonts w:ascii="Calibri" w:hAnsi="Calibri" w:cs="Calibri"/>
          <w:sz w:val="22"/>
          <w:szCs w:val="22"/>
        </w:rPr>
        <w:t>explore</w:t>
      </w:r>
      <w:r w:rsidR="005D7ECB">
        <w:rPr>
          <w:rFonts w:ascii="Calibri" w:hAnsi="Calibri" w:cs="Calibri"/>
          <w:sz w:val="22"/>
          <w:szCs w:val="22"/>
        </w:rPr>
        <w:t xml:space="preserve"> the contribution </w:t>
      </w:r>
      <w:r w:rsidR="0082572A">
        <w:rPr>
          <w:rFonts w:ascii="Calibri" w:hAnsi="Calibri" w:cs="Calibri"/>
          <w:sz w:val="22"/>
          <w:szCs w:val="22"/>
        </w:rPr>
        <w:t xml:space="preserve">that </w:t>
      </w:r>
      <w:r w:rsidR="005D7ECB">
        <w:rPr>
          <w:rFonts w:ascii="Calibri" w:hAnsi="Calibri" w:cs="Calibri"/>
          <w:sz w:val="22"/>
          <w:szCs w:val="22"/>
        </w:rPr>
        <w:t>lighting makes to their own homes</w:t>
      </w:r>
      <w:r w:rsidR="00A059A9" w:rsidRPr="00B0743E">
        <w:rPr>
          <w:rFonts w:ascii="Calibri" w:hAnsi="Calibri" w:cs="Calibri"/>
          <w:sz w:val="22"/>
          <w:szCs w:val="22"/>
        </w:rPr>
        <w:t>.</w:t>
      </w:r>
      <w:r w:rsidRPr="00B0743E">
        <w:rPr>
          <w:rFonts w:ascii="Calibri" w:hAnsi="Calibri" w:cs="Calibri"/>
          <w:sz w:val="22"/>
          <w:szCs w:val="22"/>
        </w:rPr>
        <w:t>”</w:t>
      </w:r>
    </w:p>
    <w:p w14:paraId="1D2BDE20" w14:textId="77777777" w:rsidR="00A879FD" w:rsidRPr="00B0743E" w:rsidRDefault="00A879FD" w:rsidP="00FF38EA">
      <w:pPr>
        <w:jc w:val="both"/>
        <w:rPr>
          <w:rFonts w:ascii="Calibri" w:hAnsi="Calibri" w:cs="Calibri"/>
          <w:sz w:val="22"/>
          <w:szCs w:val="22"/>
        </w:rPr>
      </w:pPr>
    </w:p>
    <w:p w14:paraId="74F38FBF" w14:textId="3D0ED9C1" w:rsidR="00A879FD" w:rsidRPr="00B0743E" w:rsidRDefault="00A879FD" w:rsidP="00FF38EA">
      <w:pPr>
        <w:ind w:firstLine="720"/>
        <w:jc w:val="both"/>
        <w:rPr>
          <w:rFonts w:ascii="Calibri" w:hAnsi="Calibri" w:cs="Calibri"/>
          <w:sz w:val="22"/>
          <w:szCs w:val="22"/>
        </w:rPr>
      </w:pPr>
      <w:r w:rsidRPr="00B0743E">
        <w:rPr>
          <w:rFonts w:ascii="Calibri" w:hAnsi="Calibri" w:cs="Calibri"/>
          <w:sz w:val="22"/>
          <w:szCs w:val="22"/>
        </w:rPr>
        <w:t xml:space="preserve">Often referred to as the “jewelry of the home,” lighting is a critical element of any interior for both </w:t>
      </w:r>
      <w:r w:rsidR="00C41004">
        <w:rPr>
          <w:rFonts w:ascii="Calibri" w:hAnsi="Calibri" w:cs="Calibri"/>
          <w:sz w:val="22"/>
          <w:szCs w:val="22"/>
        </w:rPr>
        <w:t xml:space="preserve">its </w:t>
      </w:r>
      <w:r w:rsidRPr="00B0743E">
        <w:rPr>
          <w:rFonts w:ascii="Calibri" w:hAnsi="Calibri" w:cs="Calibri"/>
          <w:sz w:val="22"/>
          <w:szCs w:val="22"/>
        </w:rPr>
        <w:t>function and beauty, Adams add</w:t>
      </w:r>
      <w:r w:rsidR="0082572A">
        <w:rPr>
          <w:rFonts w:ascii="Calibri" w:hAnsi="Calibri" w:cs="Calibri"/>
          <w:sz w:val="22"/>
          <w:szCs w:val="22"/>
        </w:rPr>
        <w:t>s</w:t>
      </w:r>
      <w:r w:rsidRPr="00B0743E">
        <w:rPr>
          <w:rFonts w:ascii="Calibri" w:hAnsi="Calibri" w:cs="Calibri"/>
          <w:sz w:val="22"/>
          <w:szCs w:val="22"/>
        </w:rPr>
        <w:t xml:space="preserve">. </w:t>
      </w:r>
    </w:p>
    <w:p w14:paraId="34E9325D" w14:textId="77777777" w:rsidR="00A879FD" w:rsidRPr="00B0743E" w:rsidRDefault="00A879FD" w:rsidP="00FF38EA">
      <w:pPr>
        <w:jc w:val="both"/>
        <w:rPr>
          <w:rFonts w:ascii="Calibri" w:hAnsi="Calibri" w:cs="Calibri"/>
          <w:sz w:val="22"/>
          <w:szCs w:val="22"/>
        </w:rPr>
      </w:pPr>
    </w:p>
    <w:p w14:paraId="7A7F2BBF" w14:textId="3F29864B" w:rsidR="00A879FD" w:rsidRPr="006505AE" w:rsidRDefault="00A879FD" w:rsidP="00FF38EA">
      <w:pPr>
        <w:ind w:firstLine="720"/>
        <w:jc w:val="both"/>
        <w:rPr>
          <w:rFonts w:ascii="Calibri" w:hAnsi="Calibri" w:cs="Calibri"/>
          <w:sz w:val="22"/>
          <w:szCs w:val="22"/>
        </w:rPr>
      </w:pPr>
      <w:r w:rsidRPr="00B0743E">
        <w:rPr>
          <w:rFonts w:ascii="Calibri" w:hAnsi="Calibri" w:cs="Calibri"/>
          <w:sz w:val="22"/>
          <w:szCs w:val="22"/>
        </w:rPr>
        <w:t>According to Adams, this won’t be an “old-fashioned display of objects under glass, with notecards telling viewer what to think.” Instead, it will be interesting, a little whimsical and, above all, beautiful.</w:t>
      </w:r>
      <w:r w:rsidR="005546B4">
        <w:rPr>
          <w:rFonts w:ascii="Calibri" w:hAnsi="Calibri" w:cs="Calibri"/>
          <w:sz w:val="22"/>
          <w:szCs w:val="22"/>
        </w:rPr>
        <w:t xml:space="preserve"> </w:t>
      </w:r>
      <w:r w:rsidRPr="00B0743E">
        <w:rPr>
          <w:rFonts w:ascii="Calibri" w:hAnsi="Calibri" w:cs="Calibri"/>
          <w:sz w:val="22"/>
          <w:szCs w:val="22"/>
        </w:rPr>
        <w:t xml:space="preserve">Visitors will not only learn about lighting and its importance in the home, they’ll also be able to circulate </w:t>
      </w:r>
      <w:r w:rsidR="006505AE" w:rsidRPr="006505AE">
        <w:rPr>
          <w:rFonts w:ascii="Calibri" w:hAnsi="Calibri" w:cs="Calibri"/>
          <w:sz w:val="22"/>
          <w:szCs w:val="22"/>
        </w:rPr>
        <w:t>within</w:t>
      </w:r>
      <w:r w:rsidRPr="006505AE">
        <w:rPr>
          <w:rFonts w:ascii="Calibri" w:hAnsi="Calibri" w:cs="Calibri"/>
          <w:sz w:val="22"/>
          <w:szCs w:val="22"/>
        </w:rPr>
        <w:t xml:space="preserve"> the display itself and see just how varied, complex and </w:t>
      </w:r>
      <w:r w:rsidR="002A660A">
        <w:rPr>
          <w:rFonts w:ascii="Calibri" w:hAnsi="Calibri" w:cs="Calibri"/>
          <w:sz w:val="22"/>
          <w:szCs w:val="22"/>
        </w:rPr>
        <w:t>attractive</w:t>
      </w:r>
      <w:r w:rsidRPr="006505AE">
        <w:rPr>
          <w:rFonts w:ascii="Calibri" w:hAnsi="Calibri" w:cs="Calibri"/>
          <w:sz w:val="22"/>
          <w:szCs w:val="22"/>
        </w:rPr>
        <w:t xml:space="preserve"> lighting is.”</w:t>
      </w:r>
    </w:p>
    <w:p w14:paraId="684F6F6F" w14:textId="77777777" w:rsidR="00A879FD" w:rsidRPr="006505AE" w:rsidRDefault="00A879FD" w:rsidP="00FF38EA">
      <w:pPr>
        <w:jc w:val="both"/>
        <w:rPr>
          <w:rFonts w:ascii="Calibri" w:hAnsi="Calibri" w:cs="Calibri"/>
          <w:sz w:val="22"/>
          <w:szCs w:val="22"/>
        </w:rPr>
      </w:pPr>
    </w:p>
    <w:p w14:paraId="02782C0A" w14:textId="3DAE19B1" w:rsidR="00922BB6" w:rsidRPr="00922BB6" w:rsidRDefault="009A5E5B" w:rsidP="00A63D6A">
      <w:pPr>
        <w:ind w:firstLine="720"/>
        <w:jc w:val="both"/>
        <w:rPr>
          <w:rFonts w:ascii="Calibri" w:hAnsi="Calibri" w:cs="Calibri"/>
          <w:sz w:val="22"/>
          <w:szCs w:val="22"/>
        </w:rPr>
      </w:pPr>
      <w:r w:rsidRPr="00F727EA">
        <w:rPr>
          <w:rFonts w:ascii="Calibri" w:hAnsi="Calibri" w:cs="Calibri"/>
          <w:sz w:val="22"/>
          <w:szCs w:val="22"/>
        </w:rPr>
        <w:t>T</w:t>
      </w:r>
      <w:r w:rsidR="00A879FD" w:rsidRPr="00F727EA">
        <w:rPr>
          <w:rFonts w:ascii="Calibri" w:hAnsi="Calibri" w:cs="Calibri"/>
          <w:sz w:val="22"/>
          <w:szCs w:val="22"/>
        </w:rPr>
        <w:t>he exhibit</w:t>
      </w:r>
      <w:r w:rsidRPr="00F727EA">
        <w:rPr>
          <w:rFonts w:ascii="Calibri" w:hAnsi="Calibri" w:cs="Calibri"/>
          <w:sz w:val="22"/>
          <w:szCs w:val="22"/>
        </w:rPr>
        <w:t xml:space="preserve"> includes trend setting products from </w:t>
      </w:r>
      <w:r w:rsidR="00C615E8" w:rsidRPr="00F727EA">
        <w:rPr>
          <w:rFonts w:ascii="Calibri" w:hAnsi="Calibri" w:cs="Calibri"/>
          <w:sz w:val="22"/>
          <w:szCs w:val="22"/>
        </w:rPr>
        <w:t>Rev</w:t>
      </w:r>
      <w:r w:rsidR="00C615E8">
        <w:rPr>
          <w:rFonts w:ascii="Calibri" w:hAnsi="Calibri" w:cs="Calibri"/>
          <w:sz w:val="22"/>
          <w:szCs w:val="22"/>
        </w:rPr>
        <w:t>e</w:t>
      </w:r>
      <w:r w:rsidR="00C615E8" w:rsidRPr="00F727EA">
        <w:rPr>
          <w:rFonts w:ascii="Calibri" w:hAnsi="Calibri" w:cs="Calibri"/>
          <w:sz w:val="22"/>
          <w:szCs w:val="22"/>
        </w:rPr>
        <w:t>l</w:t>
      </w:r>
      <w:r w:rsidR="00C615E8">
        <w:rPr>
          <w:rFonts w:ascii="Calibri" w:hAnsi="Calibri" w:cs="Calibri"/>
          <w:sz w:val="22"/>
          <w:szCs w:val="22"/>
        </w:rPr>
        <w:t>a</w:t>
      </w:r>
      <w:r w:rsidR="00C615E8" w:rsidRPr="00F727EA">
        <w:rPr>
          <w:rFonts w:ascii="Calibri" w:hAnsi="Calibri" w:cs="Calibri"/>
          <w:sz w:val="22"/>
          <w:szCs w:val="22"/>
        </w:rPr>
        <w:t>tion</w:t>
      </w:r>
      <w:r w:rsidR="00B466B0" w:rsidRPr="00F727EA">
        <w:rPr>
          <w:rFonts w:ascii="Calibri" w:hAnsi="Calibri" w:cs="Calibri"/>
          <w:sz w:val="22"/>
          <w:szCs w:val="22"/>
        </w:rPr>
        <w:t xml:space="preserve">, </w:t>
      </w:r>
      <w:r w:rsidR="0082572A" w:rsidRPr="00F727EA">
        <w:rPr>
          <w:rFonts w:ascii="Calibri" w:hAnsi="Calibri" w:cs="Calibri"/>
          <w:sz w:val="22"/>
          <w:szCs w:val="22"/>
        </w:rPr>
        <w:t>Hubbardton Forge</w:t>
      </w:r>
      <w:r w:rsidR="00B466B0" w:rsidRPr="00F727EA">
        <w:rPr>
          <w:rFonts w:ascii="Calibri" w:hAnsi="Calibri" w:cs="Calibri"/>
          <w:sz w:val="22"/>
          <w:szCs w:val="22"/>
        </w:rPr>
        <w:t xml:space="preserve"> and Currey</w:t>
      </w:r>
      <w:r w:rsidR="00FB265F" w:rsidRPr="00F727EA">
        <w:rPr>
          <w:rFonts w:ascii="Calibri" w:hAnsi="Calibri" w:cs="Calibri"/>
          <w:sz w:val="22"/>
          <w:szCs w:val="22"/>
        </w:rPr>
        <w:t>.  L</w:t>
      </w:r>
      <w:r w:rsidR="00922BB6" w:rsidRPr="00F727EA">
        <w:rPr>
          <w:rFonts w:ascii="Calibri" w:hAnsi="Calibri" w:cs="Calibri"/>
          <w:sz w:val="22"/>
          <w:szCs w:val="22"/>
        </w:rPr>
        <w:t>ighting examples rang</w:t>
      </w:r>
      <w:r w:rsidR="00FB265F" w:rsidRPr="00F727EA">
        <w:rPr>
          <w:rFonts w:ascii="Calibri" w:hAnsi="Calibri" w:cs="Calibri"/>
          <w:sz w:val="22"/>
          <w:szCs w:val="22"/>
        </w:rPr>
        <w:t>e</w:t>
      </w:r>
      <w:r w:rsidR="00922BB6" w:rsidRPr="00F727EA">
        <w:rPr>
          <w:rFonts w:ascii="Calibri" w:hAnsi="Calibri" w:cs="Calibri"/>
          <w:sz w:val="22"/>
          <w:szCs w:val="22"/>
        </w:rPr>
        <w:t xml:space="preserve"> from table and floor lamps to sconces and chandeliers made of an abundance of distinctive materials</w:t>
      </w:r>
      <w:r w:rsidR="00B06CEF" w:rsidRPr="00F727EA">
        <w:rPr>
          <w:rFonts w:ascii="Calibri" w:hAnsi="Calibri" w:cs="Calibri"/>
          <w:sz w:val="22"/>
          <w:szCs w:val="22"/>
        </w:rPr>
        <w:t xml:space="preserve">: </w:t>
      </w:r>
      <w:r w:rsidR="00922BB6" w:rsidRPr="00F727EA">
        <w:rPr>
          <w:rFonts w:ascii="Calibri" w:hAnsi="Calibri" w:cs="Calibri"/>
          <w:sz w:val="22"/>
          <w:szCs w:val="22"/>
        </w:rPr>
        <w:t>porcelain, crystal, marble, natural shells, recycled and blown glass</w:t>
      </w:r>
      <w:r w:rsidR="00B06CEF" w:rsidRPr="00F727EA">
        <w:rPr>
          <w:rFonts w:ascii="Calibri" w:hAnsi="Calibri" w:cs="Calibri"/>
          <w:sz w:val="22"/>
          <w:szCs w:val="22"/>
        </w:rPr>
        <w:t>, and</w:t>
      </w:r>
      <w:r w:rsidR="00922BB6" w:rsidRPr="00F727EA">
        <w:rPr>
          <w:rFonts w:ascii="Calibri" w:hAnsi="Calibri" w:cs="Calibri"/>
          <w:sz w:val="22"/>
          <w:szCs w:val="22"/>
        </w:rPr>
        <w:t xml:space="preserve"> hand-forged iron and brass.</w:t>
      </w:r>
    </w:p>
    <w:p w14:paraId="4DB29CCD" w14:textId="573E1E06" w:rsidR="00D62214" w:rsidRPr="00F16A59" w:rsidRDefault="00D62214" w:rsidP="00D62214">
      <w:pPr>
        <w:rPr>
          <w:rFonts w:cs="Open Sans"/>
        </w:rPr>
      </w:pPr>
    </w:p>
    <w:p w14:paraId="4BBDAD31" w14:textId="4CE0F74D" w:rsidR="005546B4" w:rsidRDefault="0082572A" w:rsidP="00FF38EA">
      <w:pPr>
        <w:ind w:firstLine="720"/>
        <w:jc w:val="both"/>
        <w:rPr>
          <w:rFonts w:ascii="Calibri" w:hAnsi="Calibri" w:cs="Calibri"/>
          <w:sz w:val="22"/>
          <w:szCs w:val="22"/>
        </w:rPr>
      </w:pPr>
      <w:r>
        <w:rPr>
          <w:rFonts w:ascii="Calibri" w:hAnsi="Calibri" w:cs="Calibri"/>
          <w:sz w:val="22"/>
          <w:szCs w:val="22"/>
        </w:rPr>
        <w:t>Says</w:t>
      </w:r>
      <w:r w:rsidR="005546B4" w:rsidRPr="006505AE">
        <w:rPr>
          <w:rFonts w:ascii="Calibri" w:hAnsi="Calibri" w:cs="Calibri"/>
          <w:sz w:val="22"/>
          <w:szCs w:val="22"/>
        </w:rPr>
        <w:t xml:space="preserve"> Adams: “It </w:t>
      </w:r>
      <w:r>
        <w:rPr>
          <w:rFonts w:ascii="Calibri" w:hAnsi="Calibri" w:cs="Calibri"/>
          <w:sz w:val="22"/>
          <w:szCs w:val="22"/>
        </w:rPr>
        <w:t>has been</w:t>
      </w:r>
      <w:r w:rsidR="005546B4" w:rsidRPr="006505AE">
        <w:rPr>
          <w:rFonts w:ascii="Calibri" w:hAnsi="Calibri" w:cs="Calibri"/>
          <w:sz w:val="22"/>
          <w:szCs w:val="22"/>
        </w:rPr>
        <w:t xml:space="preserve"> a pleasure for our team to </w:t>
      </w:r>
      <w:r w:rsidR="00EB35AC">
        <w:rPr>
          <w:rFonts w:ascii="Calibri" w:hAnsi="Calibri" w:cs="Calibri"/>
          <w:sz w:val="22"/>
          <w:szCs w:val="22"/>
        </w:rPr>
        <w:t>collaborate</w:t>
      </w:r>
      <w:r w:rsidR="005546B4" w:rsidRPr="006505AE">
        <w:rPr>
          <w:rFonts w:ascii="Calibri" w:hAnsi="Calibri" w:cs="Calibri"/>
          <w:sz w:val="22"/>
          <w:szCs w:val="22"/>
        </w:rPr>
        <w:t xml:space="preserve"> with the Hall of Fame </w:t>
      </w:r>
      <w:r>
        <w:rPr>
          <w:rFonts w:ascii="Calibri" w:hAnsi="Calibri" w:cs="Calibri"/>
          <w:sz w:val="22"/>
          <w:szCs w:val="22"/>
        </w:rPr>
        <w:t xml:space="preserve">team and other lighting providers </w:t>
      </w:r>
      <w:r w:rsidR="005546B4" w:rsidRPr="006505AE">
        <w:rPr>
          <w:rFonts w:ascii="Calibri" w:hAnsi="Calibri" w:cs="Calibri"/>
          <w:sz w:val="22"/>
          <w:szCs w:val="22"/>
        </w:rPr>
        <w:t>to create this engaging</w:t>
      </w:r>
      <w:r w:rsidR="005D7ECB">
        <w:rPr>
          <w:rFonts w:ascii="Calibri" w:hAnsi="Calibri" w:cs="Calibri"/>
          <w:sz w:val="22"/>
          <w:szCs w:val="22"/>
        </w:rPr>
        <w:t>, fun</w:t>
      </w:r>
      <w:r w:rsidR="005546B4" w:rsidRPr="006505AE">
        <w:rPr>
          <w:rFonts w:ascii="Calibri" w:hAnsi="Calibri" w:cs="Calibri"/>
          <w:sz w:val="22"/>
          <w:szCs w:val="22"/>
        </w:rPr>
        <w:t xml:space="preserve"> and informative</w:t>
      </w:r>
      <w:r w:rsidR="005546B4">
        <w:rPr>
          <w:rFonts w:ascii="Calibri" w:hAnsi="Calibri" w:cs="Calibri"/>
          <w:sz w:val="22"/>
          <w:szCs w:val="22"/>
        </w:rPr>
        <w:t xml:space="preserve"> </w:t>
      </w:r>
      <w:r w:rsidR="005546B4" w:rsidRPr="00B0743E">
        <w:rPr>
          <w:rFonts w:ascii="Calibri" w:hAnsi="Calibri" w:cs="Calibri"/>
          <w:sz w:val="22"/>
          <w:szCs w:val="22"/>
        </w:rPr>
        <w:t>exhibit.”</w:t>
      </w:r>
    </w:p>
    <w:p w14:paraId="4F85AE6A" w14:textId="77777777" w:rsidR="00EB35AC" w:rsidRDefault="00EB35AC" w:rsidP="00FF38EA">
      <w:pPr>
        <w:ind w:firstLine="720"/>
        <w:jc w:val="both"/>
        <w:rPr>
          <w:rFonts w:ascii="Calibri" w:hAnsi="Calibri" w:cs="Calibri"/>
          <w:sz w:val="22"/>
          <w:szCs w:val="22"/>
        </w:rPr>
      </w:pPr>
    </w:p>
    <w:p w14:paraId="3233C67F" w14:textId="77777777" w:rsidR="00C41004" w:rsidRPr="001A2074" w:rsidRDefault="00C41004" w:rsidP="00C41004">
      <w:pPr>
        <w:jc w:val="center"/>
        <w:rPr>
          <w:rFonts w:cstheme="minorHAnsi"/>
          <w:b/>
          <w:sz w:val="22"/>
          <w:szCs w:val="22"/>
        </w:rPr>
      </w:pPr>
      <w:r w:rsidRPr="00291C96">
        <w:rPr>
          <w:rFonts w:cstheme="minorHAnsi"/>
          <w:b/>
          <w:sz w:val="22"/>
          <w:szCs w:val="22"/>
        </w:rPr>
        <w:t>#     #     #</w:t>
      </w:r>
    </w:p>
    <w:p w14:paraId="0752D0BB" w14:textId="77777777" w:rsidR="00C41004" w:rsidRDefault="00C41004" w:rsidP="00C41004">
      <w:pPr>
        <w:pStyle w:val="NormalWeb"/>
        <w:ind w:firstLine="720"/>
        <w:jc w:val="both"/>
        <w:rPr>
          <w:rFonts w:ascii="Calibri" w:hAnsi="Calibri" w:cs="Calibri"/>
          <w:color w:val="0000FF"/>
          <w:sz w:val="22"/>
          <w:szCs w:val="22"/>
        </w:rPr>
      </w:pPr>
      <w:r w:rsidRPr="00D51FFB">
        <w:rPr>
          <w:rFonts w:ascii="Calibri" w:hAnsi="Calibri" w:cs="Calibri"/>
          <w:sz w:val="22"/>
          <w:szCs w:val="22"/>
        </w:rPr>
        <w:lastRenderedPageBreak/>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D51FFB">
        <w:rPr>
          <w:rFonts w:ascii="Calibri" w:hAnsi="Calibri" w:cs="Calibri"/>
          <w:sz w:val="22"/>
          <w:szCs w:val="22"/>
          <w:shd w:val="clear" w:color="auto" w:fill="FFFFFF"/>
        </w:rPr>
        <w:t xml:space="preserve">and to engage the </w:t>
      </w:r>
      <w:r w:rsidRPr="00D51FFB">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8" w:history="1">
        <w:r w:rsidRPr="00D51FFB">
          <w:rPr>
            <w:rStyle w:val="Hyperlink"/>
            <w:rFonts w:ascii="Calibri" w:eastAsiaTheme="majorEastAsia" w:hAnsi="Calibri" w:cs="Calibri"/>
            <w:sz w:val="22"/>
            <w:szCs w:val="22"/>
          </w:rPr>
          <w:t>www.homefurnishingshalloffame.com</w:t>
        </w:r>
      </w:hyperlink>
      <w:r w:rsidRPr="00D51FFB">
        <w:rPr>
          <w:rFonts w:ascii="Calibri" w:hAnsi="Calibri" w:cs="Calibri"/>
          <w:color w:val="0000FF"/>
          <w:sz w:val="22"/>
          <w:szCs w:val="22"/>
        </w:rPr>
        <w:t>.</w:t>
      </w:r>
    </w:p>
    <w:p w14:paraId="0F1E3A34" w14:textId="77777777" w:rsidR="00C41004" w:rsidRDefault="00C41004" w:rsidP="00C41004">
      <w:pPr>
        <w:pStyle w:val="NormalWeb"/>
        <w:spacing w:before="0" w:beforeAutospacing="0" w:after="0" w:afterAutospacing="0"/>
        <w:jc w:val="center"/>
        <w:rPr>
          <w:rFonts w:ascii="Calibri" w:hAnsi="Calibri" w:cs="Calibri"/>
          <w:b/>
          <w:sz w:val="22"/>
          <w:szCs w:val="22"/>
        </w:rPr>
      </w:pPr>
      <w:r w:rsidRPr="00AE39D3">
        <w:rPr>
          <w:rFonts w:ascii="Calibri" w:hAnsi="Calibri" w:cs="Calibri"/>
          <w:b/>
          <w:sz w:val="22"/>
          <w:szCs w:val="22"/>
        </w:rPr>
        <w:t>#     #     #</w:t>
      </w:r>
    </w:p>
    <w:p w14:paraId="15AB8D13" w14:textId="77777777" w:rsidR="00C41004" w:rsidRDefault="00C41004" w:rsidP="00C41004">
      <w:pPr>
        <w:pStyle w:val="NormalWeb"/>
        <w:spacing w:before="0" w:beforeAutospacing="0" w:after="0" w:afterAutospacing="0"/>
        <w:jc w:val="center"/>
        <w:rPr>
          <w:rFonts w:ascii="Calibri" w:hAnsi="Calibri" w:cs="Calibri"/>
          <w:b/>
          <w:sz w:val="22"/>
          <w:szCs w:val="22"/>
        </w:rPr>
      </w:pPr>
    </w:p>
    <w:p w14:paraId="714FBD82" w14:textId="77777777" w:rsidR="00C41004" w:rsidRDefault="00C41004" w:rsidP="00C41004">
      <w:pPr>
        <w:pStyle w:val="NormalWeb"/>
        <w:jc w:val="center"/>
        <w:rPr>
          <w:rFonts w:ascii="Calibri" w:hAnsi="Calibri" w:cs="Calibri"/>
          <w:b/>
          <w:sz w:val="22"/>
          <w:szCs w:val="22"/>
        </w:rPr>
      </w:pPr>
    </w:p>
    <w:p w14:paraId="5DBDD189" w14:textId="0C420EED" w:rsidR="00590CD1" w:rsidRPr="00B0743E" w:rsidRDefault="00590CD1">
      <w:pPr>
        <w:rPr>
          <w:rFonts w:ascii="Calibri" w:hAnsi="Calibri" w:cs="Calibri"/>
          <w:b/>
          <w:bCs/>
          <w:sz w:val="22"/>
          <w:szCs w:val="22"/>
        </w:rPr>
      </w:pPr>
    </w:p>
    <w:sectPr w:rsidR="00590CD1" w:rsidRPr="00B0743E" w:rsidSect="00077DC4">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FD"/>
    <w:rsid w:val="0003386D"/>
    <w:rsid w:val="00034149"/>
    <w:rsid w:val="00061AEC"/>
    <w:rsid w:val="00077DC4"/>
    <w:rsid w:val="000F4F99"/>
    <w:rsid w:val="00172875"/>
    <w:rsid w:val="001C6A52"/>
    <w:rsid w:val="001E4D29"/>
    <w:rsid w:val="0027432E"/>
    <w:rsid w:val="002A180D"/>
    <w:rsid w:val="002A660A"/>
    <w:rsid w:val="004A599E"/>
    <w:rsid w:val="004B567D"/>
    <w:rsid w:val="005546B4"/>
    <w:rsid w:val="0057245D"/>
    <w:rsid w:val="00590CD1"/>
    <w:rsid w:val="005B22F1"/>
    <w:rsid w:val="005D7ECB"/>
    <w:rsid w:val="005E7F70"/>
    <w:rsid w:val="005F0AEA"/>
    <w:rsid w:val="006505AE"/>
    <w:rsid w:val="006A6670"/>
    <w:rsid w:val="00727433"/>
    <w:rsid w:val="00742833"/>
    <w:rsid w:val="00776F9D"/>
    <w:rsid w:val="007868B5"/>
    <w:rsid w:val="00794D78"/>
    <w:rsid w:val="007C7507"/>
    <w:rsid w:val="0082572A"/>
    <w:rsid w:val="009164CB"/>
    <w:rsid w:val="00922BB6"/>
    <w:rsid w:val="009A5E5B"/>
    <w:rsid w:val="009A6BE0"/>
    <w:rsid w:val="00A059A9"/>
    <w:rsid w:val="00A63D6A"/>
    <w:rsid w:val="00A879FD"/>
    <w:rsid w:val="00B06CEF"/>
    <w:rsid w:val="00B0743E"/>
    <w:rsid w:val="00B466B0"/>
    <w:rsid w:val="00B5567F"/>
    <w:rsid w:val="00C022CA"/>
    <w:rsid w:val="00C0438C"/>
    <w:rsid w:val="00C41004"/>
    <w:rsid w:val="00C502B8"/>
    <w:rsid w:val="00C615E8"/>
    <w:rsid w:val="00C815FE"/>
    <w:rsid w:val="00D209BB"/>
    <w:rsid w:val="00D62214"/>
    <w:rsid w:val="00E4660D"/>
    <w:rsid w:val="00E526AD"/>
    <w:rsid w:val="00E542C6"/>
    <w:rsid w:val="00EA5A60"/>
    <w:rsid w:val="00EB35AC"/>
    <w:rsid w:val="00F16A59"/>
    <w:rsid w:val="00F173A5"/>
    <w:rsid w:val="00F727EA"/>
    <w:rsid w:val="00FB265F"/>
    <w:rsid w:val="00FD1EC0"/>
    <w:rsid w:val="00FF3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9088"/>
  <w14:defaultImageDpi w14:val="32767"/>
  <w15:chartTrackingRefBased/>
  <w15:docId w15:val="{4E366D21-D944-5844-B518-CE5FE7F2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9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9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9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9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9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9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9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9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9FD"/>
    <w:rPr>
      <w:rFonts w:eastAsiaTheme="majorEastAsia" w:cstheme="majorBidi"/>
      <w:color w:val="272727" w:themeColor="text1" w:themeTint="D8"/>
    </w:rPr>
  </w:style>
  <w:style w:type="paragraph" w:styleId="Title">
    <w:name w:val="Title"/>
    <w:basedOn w:val="Normal"/>
    <w:next w:val="Normal"/>
    <w:link w:val="TitleChar"/>
    <w:uiPriority w:val="10"/>
    <w:qFormat/>
    <w:rsid w:val="00A879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9F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9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79FD"/>
    <w:rPr>
      <w:i/>
      <w:iCs/>
      <w:color w:val="404040" w:themeColor="text1" w:themeTint="BF"/>
    </w:rPr>
  </w:style>
  <w:style w:type="paragraph" w:styleId="ListParagraph">
    <w:name w:val="List Paragraph"/>
    <w:basedOn w:val="Normal"/>
    <w:uiPriority w:val="34"/>
    <w:qFormat/>
    <w:rsid w:val="00A879FD"/>
    <w:pPr>
      <w:ind w:left="720"/>
      <w:contextualSpacing/>
    </w:pPr>
  </w:style>
  <w:style w:type="character" w:styleId="IntenseEmphasis">
    <w:name w:val="Intense Emphasis"/>
    <w:basedOn w:val="DefaultParagraphFont"/>
    <w:uiPriority w:val="21"/>
    <w:qFormat/>
    <w:rsid w:val="00A879FD"/>
    <w:rPr>
      <w:i/>
      <w:iCs/>
      <w:color w:val="0F4761" w:themeColor="accent1" w:themeShade="BF"/>
    </w:rPr>
  </w:style>
  <w:style w:type="paragraph" w:styleId="IntenseQuote">
    <w:name w:val="Intense Quote"/>
    <w:basedOn w:val="Normal"/>
    <w:next w:val="Normal"/>
    <w:link w:val="IntenseQuoteChar"/>
    <w:uiPriority w:val="30"/>
    <w:qFormat/>
    <w:rsid w:val="00A87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9FD"/>
    <w:rPr>
      <w:i/>
      <w:iCs/>
      <w:color w:val="0F4761" w:themeColor="accent1" w:themeShade="BF"/>
    </w:rPr>
  </w:style>
  <w:style w:type="character" w:styleId="IntenseReference">
    <w:name w:val="Intense Reference"/>
    <w:basedOn w:val="DefaultParagraphFont"/>
    <w:uiPriority w:val="32"/>
    <w:qFormat/>
    <w:rsid w:val="00A879FD"/>
    <w:rPr>
      <w:b/>
      <w:bCs/>
      <w:smallCaps/>
      <w:color w:val="0F4761" w:themeColor="accent1" w:themeShade="BF"/>
      <w:spacing w:val="5"/>
    </w:rPr>
  </w:style>
  <w:style w:type="paragraph" w:styleId="NormalWeb">
    <w:name w:val="Normal (Web)"/>
    <w:basedOn w:val="Normal"/>
    <w:uiPriority w:val="99"/>
    <w:unhideWhenUsed/>
    <w:rsid w:val="00C4100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410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mefurnishingshalloffame.com"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6c796234544fae1a2f5fdc1f1c264fd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28fe8eafaf22582e4c2377d248e5c607"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B5CCC-38B5-4452-83D2-17016553E9C2}">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CEB1665F-A9D5-4DFF-B84E-A4C1119050CE}">
  <ds:schemaRefs>
    <ds:schemaRef ds:uri="http://schemas.microsoft.com/sharepoint/v3/contenttype/forms"/>
  </ds:schemaRefs>
</ds:datastoreItem>
</file>

<file path=customXml/itemProps3.xml><?xml version="1.0" encoding="utf-8"?>
<ds:datastoreItem xmlns:ds="http://schemas.openxmlformats.org/officeDocument/2006/customXml" ds:itemID="{C77475FB-0E21-4816-9E03-1D2A022D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567</Words>
  <Characters>3077</Characters>
  <Application>Microsoft Office Word</Application>
  <DocSecurity>0</DocSecurity>
  <Lines>61</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12</cp:revision>
  <dcterms:created xsi:type="dcterms:W3CDTF">2025-10-03T20:32:00Z</dcterms:created>
  <dcterms:modified xsi:type="dcterms:W3CDTF">2025-10-22T04:41:00Z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