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3B11D" w14:textId="5ECD14BB" w:rsidR="00DE28AC" w:rsidRPr="004C0B2A" w:rsidRDefault="00DE28AC" w:rsidP="00EC0E67">
      <w:pPr>
        <w:spacing w:after="0" w:line="240" w:lineRule="auto"/>
        <w:jc w:val="center"/>
        <w:rPr>
          <w:rFonts w:ascii="Arial" w:hAnsi="Arial" w:cs="Arial"/>
          <w:sz w:val="20"/>
          <w:szCs w:val="20"/>
        </w:rPr>
      </w:pPr>
      <w:r w:rsidRPr="004C0B2A">
        <w:rPr>
          <w:rFonts w:ascii="Arial" w:hAnsi="Arial" w:cs="Arial"/>
          <w:noProof/>
          <w:sz w:val="20"/>
          <w:szCs w:val="20"/>
        </w:rPr>
        <w:drawing>
          <wp:inline distT="0" distB="0" distL="0" distR="0" wp14:anchorId="407CDA8F" wp14:editId="10D97811">
            <wp:extent cx="1542314" cy="622300"/>
            <wp:effectExtent l="0" t="0" r="1270" b="6350"/>
            <wp:docPr id="3905452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91154" cy="642006"/>
                    </a:xfrm>
                    <a:prstGeom prst="rect">
                      <a:avLst/>
                    </a:prstGeom>
                    <a:noFill/>
                    <a:ln>
                      <a:noFill/>
                    </a:ln>
                  </pic:spPr>
                </pic:pic>
              </a:graphicData>
            </a:graphic>
          </wp:inline>
        </w:drawing>
      </w:r>
      <w:r w:rsidR="00EC0E67" w:rsidRPr="004C0B2A">
        <w:rPr>
          <w:rFonts w:ascii="Arial" w:hAnsi="Arial" w:cs="Arial"/>
          <w:sz w:val="20"/>
          <w:szCs w:val="20"/>
        </w:rPr>
        <w:t xml:space="preserve">            </w:t>
      </w:r>
      <w:r w:rsidR="00AF0CFB" w:rsidRPr="004C0B2A">
        <w:rPr>
          <w:rFonts w:ascii="Arial" w:hAnsi="Arial" w:cs="Arial"/>
          <w:noProof/>
          <w:sz w:val="20"/>
          <w:szCs w:val="20"/>
        </w:rPr>
        <w:drawing>
          <wp:inline distT="0" distB="0" distL="0" distR="0" wp14:anchorId="11DB654E" wp14:editId="28CA2A8B">
            <wp:extent cx="1613337" cy="772227"/>
            <wp:effectExtent l="0" t="0" r="0" b="2540"/>
            <wp:docPr id="2" name="Picture 2" descr="C:\Users\Intern\Downloads\TwinSta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ownloads\TwinStar.New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1267" cy="819101"/>
                    </a:xfrm>
                    <a:prstGeom prst="rect">
                      <a:avLst/>
                    </a:prstGeom>
                    <a:noFill/>
                    <a:ln>
                      <a:noFill/>
                    </a:ln>
                  </pic:spPr>
                </pic:pic>
              </a:graphicData>
            </a:graphic>
          </wp:inline>
        </w:drawing>
      </w:r>
    </w:p>
    <w:p w14:paraId="7C97D13A" w14:textId="77777777" w:rsidR="00174095" w:rsidRPr="004C0B2A" w:rsidRDefault="00174095" w:rsidP="00094F10">
      <w:pPr>
        <w:pStyle w:val="NormalWeb"/>
        <w:spacing w:before="0" w:beforeAutospacing="0" w:after="0" w:afterAutospacing="0"/>
        <w:jc w:val="center"/>
        <w:rPr>
          <w:rStyle w:val="Strong"/>
          <w:rFonts w:ascii="Arial" w:eastAsiaTheme="majorEastAsia" w:hAnsi="Arial" w:cs="Arial"/>
          <w:sz w:val="20"/>
          <w:szCs w:val="20"/>
        </w:rPr>
      </w:pPr>
    </w:p>
    <w:p w14:paraId="10DCAF29" w14:textId="29780656" w:rsidR="00AF0CFB" w:rsidRPr="004C0B2A" w:rsidRDefault="004E082A" w:rsidP="008B27A9">
      <w:pPr>
        <w:pStyle w:val="NormalWeb"/>
        <w:spacing w:before="0" w:beforeAutospacing="0" w:after="0" w:afterAutospacing="0"/>
        <w:jc w:val="center"/>
        <w:rPr>
          <w:rStyle w:val="Strong"/>
          <w:rFonts w:ascii="Arial" w:eastAsiaTheme="majorEastAsia" w:hAnsi="Arial" w:cs="Arial"/>
          <w:sz w:val="20"/>
          <w:szCs w:val="20"/>
        </w:rPr>
      </w:pPr>
      <w:proofErr w:type="spellStart"/>
      <w:r w:rsidRPr="004C0B2A">
        <w:rPr>
          <w:rStyle w:val="Strong"/>
          <w:rFonts w:ascii="Arial" w:eastAsiaTheme="majorEastAsia" w:hAnsi="Arial" w:cs="Arial"/>
          <w:sz w:val="20"/>
          <w:szCs w:val="20"/>
        </w:rPr>
        <w:t>ZCG</w:t>
      </w:r>
      <w:proofErr w:type="spellEnd"/>
      <w:r w:rsidRPr="004C0B2A">
        <w:rPr>
          <w:rStyle w:val="Strong"/>
          <w:rFonts w:ascii="Arial" w:eastAsiaTheme="majorEastAsia" w:hAnsi="Arial" w:cs="Arial"/>
          <w:sz w:val="20"/>
          <w:szCs w:val="20"/>
        </w:rPr>
        <w:t xml:space="preserve">-Backed </w:t>
      </w:r>
      <w:r w:rsidR="00AF0CFB" w:rsidRPr="004C0B2A">
        <w:rPr>
          <w:rStyle w:val="Strong"/>
          <w:rFonts w:ascii="Arial" w:eastAsiaTheme="majorEastAsia" w:hAnsi="Arial" w:cs="Arial"/>
          <w:sz w:val="20"/>
          <w:szCs w:val="20"/>
        </w:rPr>
        <w:t>Twin Star Home Acquires Walker Edison, Expanding Portfolio of Leading Home Furnishing Brands</w:t>
      </w:r>
    </w:p>
    <w:p w14:paraId="6C632C54" w14:textId="77777777" w:rsidR="00CD61DB" w:rsidRPr="004C0B2A" w:rsidRDefault="00CD61DB" w:rsidP="00EC0E67">
      <w:pPr>
        <w:pStyle w:val="NormalWeb"/>
        <w:spacing w:before="0" w:beforeAutospacing="0" w:after="0" w:afterAutospacing="0"/>
        <w:jc w:val="center"/>
        <w:rPr>
          <w:rStyle w:val="Strong"/>
          <w:rFonts w:ascii="Arial" w:eastAsiaTheme="majorEastAsia" w:hAnsi="Arial" w:cs="Arial"/>
          <w:sz w:val="20"/>
          <w:szCs w:val="20"/>
        </w:rPr>
      </w:pPr>
    </w:p>
    <w:p w14:paraId="2DF971E3" w14:textId="4116023F" w:rsidR="00105C32" w:rsidRPr="004C0B2A" w:rsidRDefault="00105C32" w:rsidP="008B27A9">
      <w:pPr>
        <w:pStyle w:val="NormalWeb"/>
        <w:spacing w:before="0" w:beforeAutospacing="0" w:after="0" w:afterAutospacing="0"/>
        <w:jc w:val="center"/>
        <w:rPr>
          <w:rFonts w:ascii="Arial" w:hAnsi="Arial" w:cs="Arial"/>
          <w:i/>
          <w:iCs/>
          <w:sz w:val="20"/>
          <w:szCs w:val="20"/>
        </w:rPr>
      </w:pPr>
      <w:r w:rsidRPr="004C0B2A">
        <w:rPr>
          <w:rFonts w:ascii="Arial" w:hAnsi="Arial" w:cs="Arial"/>
          <w:i/>
          <w:iCs/>
          <w:sz w:val="20"/>
          <w:szCs w:val="20"/>
        </w:rPr>
        <w:t>Acquisition expands Twin Star Home’s omnichannel reach and accelerates innovation in e-commerce and design</w:t>
      </w:r>
    </w:p>
    <w:p w14:paraId="2012B4D8" w14:textId="1B7AF826" w:rsidR="00CD61DB" w:rsidRPr="004C0B2A" w:rsidRDefault="00CD61DB" w:rsidP="00EC0E67">
      <w:pPr>
        <w:pStyle w:val="NormalWeb"/>
        <w:spacing w:before="0" w:beforeAutospacing="0" w:after="0" w:afterAutospacing="0"/>
        <w:jc w:val="center"/>
        <w:rPr>
          <w:rFonts w:ascii="Arial" w:hAnsi="Arial" w:cs="Arial"/>
          <w:i/>
          <w:iCs/>
          <w:sz w:val="20"/>
          <w:szCs w:val="20"/>
        </w:rPr>
      </w:pPr>
    </w:p>
    <w:p w14:paraId="5DFD5A33" w14:textId="3471B06D" w:rsidR="00DE28AC" w:rsidRPr="004C0B2A" w:rsidRDefault="00094F10" w:rsidP="00094F10">
      <w:pPr>
        <w:pStyle w:val="NormalWeb"/>
        <w:spacing w:before="0" w:beforeAutospacing="0" w:after="0" w:afterAutospacing="0"/>
        <w:rPr>
          <w:rFonts w:ascii="Arial" w:hAnsi="Arial" w:cs="Arial"/>
          <w:sz w:val="20"/>
          <w:szCs w:val="20"/>
        </w:rPr>
      </w:pPr>
      <w:r w:rsidRPr="004C0B2A">
        <w:rPr>
          <w:rStyle w:val="Strong"/>
          <w:rFonts w:ascii="Arial" w:eastAsiaTheme="majorEastAsia" w:hAnsi="Arial" w:cs="Arial"/>
          <w:sz w:val="20"/>
          <w:szCs w:val="20"/>
        </w:rPr>
        <w:t>BOCA RATON, Fla.,</w:t>
      </w:r>
      <w:r w:rsidR="00AF0CFB" w:rsidRPr="004C0B2A">
        <w:rPr>
          <w:rStyle w:val="Strong"/>
          <w:rFonts w:ascii="Arial" w:eastAsiaTheme="majorEastAsia" w:hAnsi="Arial" w:cs="Arial"/>
          <w:sz w:val="20"/>
          <w:szCs w:val="20"/>
        </w:rPr>
        <w:t xml:space="preserve"> October </w:t>
      </w:r>
      <w:r w:rsidR="00DF47A3" w:rsidRPr="004C0B2A">
        <w:rPr>
          <w:rStyle w:val="Strong"/>
          <w:rFonts w:ascii="Arial" w:eastAsiaTheme="majorEastAsia" w:hAnsi="Arial" w:cs="Arial"/>
          <w:sz w:val="20"/>
          <w:szCs w:val="20"/>
        </w:rPr>
        <w:t>22</w:t>
      </w:r>
      <w:r w:rsidR="00AF0CFB" w:rsidRPr="004C0B2A">
        <w:rPr>
          <w:rStyle w:val="Strong"/>
          <w:rFonts w:ascii="Arial" w:eastAsiaTheme="majorEastAsia" w:hAnsi="Arial" w:cs="Arial"/>
          <w:sz w:val="20"/>
          <w:szCs w:val="20"/>
        </w:rPr>
        <w:t>, 2025</w:t>
      </w:r>
      <w:r w:rsidR="00AF0CFB" w:rsidRPr="004C0B2A">
        <w:rPr>
          <w:rFonts w:ascii="Arial" w:hAnsi="Arial" w:cs="Arial"/>
          <w:sz w:val="20"/>
          <w:szCs w:val="20"/>
        </w:rPr>
        <w:t xml:space="preserve"> – Twin Star Home, a leader in indoor and outdoor home furnishings and a portfolio company of Z Capital Group (</w:t>
      </w:r>
      <w:r w:rsidR="00CD61DB" w:rsidRPr="004C0B2A">
        <w:rPr>
          <w:rFonts w:ascii="Arial" w:hAnsi="Arial" w:cs="Arial"/>
          <w:sz w:val="20"/>
          <w:szCs w:val="20"/>
        </w:rPr>
        <w:t>“</w:t>
      </w:r>
      <w:proofErr w:type="spellStart"/>
      <w:r w:rsidR="00AF0CFB" w:rsidRPr="004C0B2A">
        <w:rPr>
          <w:rFonts w:ascii="Arial" w:hAnsi="Arial" w:cs="Arial"/>
          <w:sz w:val="20"/>
          <w:szCs w:val="20"/>
        </w:rPr>
        <w:t>ZCG</w:t>
      </w:r>
      <w:proofErr w:type="spellEnd"/>
      <w:r w:rsidR="00CD61DB" w:rsidRPr="004C0B2A">
        <w:rPr>
          <w:rFonts w:ascii="Arial" w:hAnsi="Arial" w:cs="Arial"/>
          <w:sz w:val="20"/>
          <w:szCs w:val="20"/>
        </w:rPr>
        <w:t>”</w:t>
      </w:r>
      <w:r w:rsidR="00AF0CFB" w:rsidRPr="004C0B2A">
        <w:rPr>
          <w:rFonts w:ascii="Arial" w:hAnsi="Arial" w:cs="Arial"/>
          <w:sz w:val="20"/>
          <w:szCs w:val="20"/>
        </w:rPr>
        <w:t xml:space="preserve">), today announced the acquisition of </w:t>
      </w:r>
      <w:r w:rsidR="00AF0CFB" w:rsidRPr="004C0B2A">
        <w:rPr>
          <w:rStyle w:val="Strong"/>
          <w:rFonts w:ascii="Arial" w:eastAsiaTheme="majorEastAsia" w:hAnsi="Arial" w:cs="Arial"/>
          <w:b w:val="0"/>
          <w:bCs w:val="0"/>
          <w:sz w:val="20"/>
          <w:szCs w:val="20"/>
        </w:rPr>
        <w:t>Walker Edison</w:t>
      </w:r>
      <w:r w:rsidR="00AF0CFB" w:rsidRPr="004C0B2A">
        <w:rPr>
          <w:rFonts w:ascii="Arial" w:hAnsi="Arial" w:cs="Arial"/>
          <w:b/>
          <w:bCs/>
          <w:sz w:val="20"/>
          <w:szCs w:val="20"/>
        </w:rPr>
        <w:t>,</w:t>
      </w:r>
      <w:r w:rsidR="00AF0CFB" w:rsidRPr="004C0B2A">
        <w:rPr>
          <w:rFonts w:ascii="Arial" w:hAnsi="Arial" w:cs="Arial"/>
          <w:sz w:val="20"/>
          <w:szCs w:val="20"/>
        </w:rPr>
        <w:t xml:space="preserve"> a </w:t>
      </w:r>
      <w:r w:rsidR="00DE28AC" w:rsidRPr="004C0B2A">
        <w:rPr>
          <w:rFonts w:ascii="Arial" w:hAnsi="Arial" w:cs="Arial"/>
          <w:sz w:val="20"/>
          <w:szCs w:val="20"/>
        </w:rPr>
        <w:t>renowned</w:t>
      </w:r>
      <w:r w:rsidR="00AF0CFB" w:rsidRPr="004C0B2A">
        <w:rPr>
          <w:rFonts w:ascii="Arial" w:hAnsi="Arial" w:cs="Arial"/>
          <w:sz w:val="20"/>
          <w:szCs w:val="20"/>
        </w:rPr>
        <w:t xml:space="preserve"> innovator in ready-to-assemble furniture. </w:t>
      </w:r>
      <w:r w:rsidR="005B504E" w:rsidRPr="004C0B2A">
        <w:rPr>
          <w:rFonts w:ascii="Arial" w:hAnsi="Arial" w:cs="Arial"/>
          <w:sz w:val="20"/>
          <w:szCs w:val="20"/>
        </w:rPr>
        <w:t xml:space="preserve">Walker Edison filed for </w:t>
      </w:r>
      <w:r w:rsidR="00174095" w:rsidRPr="004C0B2A">
        <w:rPr>
          <w:rFonts w:ascii="Arial" w:hAnsi="Arial" w:cs="Arial"/>
          <w:sz w:val="20"/>
          <w:szCs w:val="20"/>
        </w:rPr>
        <w:t xml:space="preserve">Chapter 11 </w:t>
      </w:r>
      <w:r w:rsidR="005B504E" w:rsidRPr="004C0B2A">
        <w:rPr>
          <w:rFonts w:ascii="Arial" w:hAnsi="Arial" w:cs="Arial"/>
          <w:sz w:val="20"/>
          <w:szCs w:val="20"/>
        </w:rPr>
        <w:t xml:space="preserve">bankruptcy in </w:t>
      </w:r>
      <w:r w:rsidR="00174095" w:rsidRPr="004C0B2A">
        <w:rPr>
          <w:rFonts w:ascii="Arial" w:hAnsi="Arial" w:cs="Arial"/>
          <w:sz w:val="20"/>
          <w:szCs w:val="20"/>
        </w:rPr>
        <w:t xml:space="preserve">the U.S. Bankruptcy Court for the District of </w:t>
      </w:r>
      <w:r w:rsidR="005B504E" w:rsidRPr="004C0B2A">
        <w:rPr>
          <w:rFonts w:ascii="Arial" w:hAnsi="Arial" w:cs="Arial"/>
          <w:sz w:val="20"/>
          <w:szCs w:val="20"/>
        </w:rPr>
        <w:t>Delaware on August 28, 2025</w:t>
      </w:r>
      <w:r w:rsidR="00174095" w:rsidRPr="004C0B2A">
        <w:rPr>
          <w:rFonts w:ascii="Arial" w:hAnsi="Arial" w:cs="Arial"/>
          <w:sz w:val="20"/>
          <w:szCs w:val="20"/>
        </w:rPr>
        <w:t>,</w:t>
      </w:r>
      <w:r w:rsidR="005B504E" w:rsidRPr="004C0B2A">
        <w:rPr>
          <w:rFonts w:ascii="Arial" w:hAnsi="Arial" w:cs="Arial"/>
          <w:sz w:val="20"/>
          <w:szCs w:val="20"/>
        </w:rPr>
        <w:t xml:space="preserve"> </w:t>
      </w:r>
      <w:r w:rsidR="00174095" w:rsidRPr="004C0B2A">
        <w:rPr>
          <w:rFonts w:ascii="Arial" w:hAnsi="Arial" w:cs="Arial"/>
          <w:sz w:val="20"/>
          <w:szCs w:val="20"/>
        </w:rPr>
        <w:t>and</w:t>
      </w:r>
      <w:r w:rsidR="005B504E" w:rsidRPr="004C0B2A">
        <w:rPr>
          <w:rFonts w:ascii="Arial" w:hAnsi="Arial" w:cs="Arial"/>
          <w:sz w:val="20"/>
          <w:szCs w:val="20"/>
        </w:rPr>
        <w:t xml:space="preserve"> Twin Star Home </w:t>
      </w:r>
      <w:r w:rsidR="00174095" w:rsidRPr="004C0B2A">
        <w:rPr>
          <w:rFonts w:ascii="Arial" w:hAnsi="Arial" w:cs="Arial"/>
          <w:sz w:val="20"/>
          <w:szCs w:val="20"/>
        </w:rPr>
        <w:t>emerged</w:t>
      </w:r>
      <w:r w:rsidR="005B504E" w:rsidRPr="004C0B2A">
        <w:rPr>
          <w:rFonts w:ascii="Arial" w:hAnsi="Arial" w:cs="Arial"/>
          <w:sz w:val="20"/>
          <w:szCs w:val="20"/>
        </w:rPr>
        <w:t xml:space="preserve"> as the successful bidder in the </w:t>
      </w:r>
      <w:r w:rsidR="00174095" w:rsidRPr="004C0B2A">
        <w:rPr>
          <w:rFonts w:ascii="Arial" w:hAnsi="Arial" w:cs="Arial"/>
          <w:sz w:val="20"/>
          <w:szCs w:val="20"/>
        </w:rPr>
        <w:t xml:space="preserve">court-supervised </w:t>
      </w:r>
      <w:r w:rsidR="005B504E" w:rsidRPr="004C0B2A">
        <w:rPr>
          <w:rFonts w:ascii="Arial" w:hAnsi="Arial" w:cs="Arial"/>
          <w:sz w:val="20"/>
          <w:szCs w:val="20"/>
        </w:rPr>
        <w:t>auction process</w:t>
      </w:r>
      <w:r w:rsidR="00174095" w:rsidRPr="004C0B2A">
        <w:rPr>
          <w:rFonts w:ascii="Arial" w:hAnsi="Arial" w:cs="Arial"/>
          <w:sz w:val="20"/>
          <w:szCs w:val="20"/>
        </w:rPr>
        <w:t xml:space="preserve"> for its assets</w:t>
      </w:r>
      <w:r w:rsidR="005B504E" w:rsidRPr="004C0B2A">
        <w:rPr>
          <w:rFonts w:ascii="Arial" w:hAnsi="Arial" w:cs="Arial"/>
          <w:sz w:val="20"/>
          <w:szCs w:val="20"/>
        </w:rPr>
        <w:t xml:space="preserve">. </w:t>
      </w:r>
    </w:p>
    <w:p w14:paraId="697AE2CE" w14:textId="77777777" w:rsidR="00CD61DB" w:rsidRPr="004C0B2A" w:rsidRDefault="00CD61DB" w:rsidP="008B27A9">
      <w:pPr>
        <w:pStyle w:val="NormalWeb"/>
        <w:spacing w:before="0" w:beforeAutospacing="0" w:after="0" w:afterAutospacing="0"/>
        <w:rPr>
          <w:rFonts w:ascii="Arial" w:hAnsi="Arial" w:cs="Arial"/>
          <w:sz w:val="20"/>
          <w:szCs w:val="20"/>
        </w:rPr>
      </w:pPr>
    </w:p>
    <w:p w14:paraId="7D387DA6" w14:textId="0B9CD247" w:rsidR="00AF0CFB" w:rsidRPr="004C0B2A" w:rsidRDefault="00AF0CFB" w:rsidP="008B27A9">
      <w:pPr>
        <w:pStyle w:val="NormalWeb"/>
        <w:spacing w:before="0" w:beforeAutospacing="0" w:after="0" w:afterAutospacing="0"/>
        <w:rPr>
          <w:rFonts w:ascii="Arial" w:hAnsi="Arial" w:cs="Arial"/>
          <w:sz w:val="20"/>
          <w:szCs w:val="20"/>
        </w:rPr>
      </w:pPr>
      <w:r w:rsidRPr="004C0B2A">
        <w:rPr>
          <w:rFonts w:ascii="Arial" w:hAnsi="Arial" w:cs="Arial"/>
          <w:sz w:val="20"/>
          <w:szCs w:val="20"/>
        </w:rPr>
        <w:t xml:space="preserve">This strategic acquisition further strengthens </w:t>
      </w:r>
      <w:r w:rsidRPr="004C0B2A">
        <w:rPr>
          <w:rStyle w:val="Strong"/>
          <w:rFonts w:ascii="Arial" w:eastAsiaTheme="majorEastAsia" w:hAnsi="Arial" w:cs="Arial"/>
          <w:b w:val="0"/>
          <w:bCs w:val="0"/>
          <w:sz w:val="20"/>
          <w:szCs w:val="20"/>
        </w:rPr>
        <w:t xml:space="preserve">Twin Star Home’s position as a top furniture manufacturer in </w:t>
      </w:r>
      <w:r w:rsidR="00DE28AC" w:rsidRPr="004C0B2A">
        <w:rPr>
          <w:rStyle w:val="Strong"/>
          <w:rFonts w:ascii="Arial" w:eastAsiaTheme="majorEastAsia" w:hAnsi="Arial" w:cs="Arial"/>
          <w:b w:val="0"/>
          <w:bCs w:val="0"/>
          <w:sz w:val="20"/>
          <w:szCs w:val="20"/>
        </w:rPr>
        <w:t>both</w:t>
      </w:r>
      <w:r w:rsidRPr="004C0B2A">
        <w:rPr>
          <w:rStyle w:val="Strong"/>
          <w:rFonts w:ascii="Arial" w:eastAsiaTheme="majorEastAsia" w:hAnsi="Arial" w:cs="Arial"/>
          <w:b w:val="0"/>
          <w:bCs w:val="0"/>
          <w:sz w:val="20"/>
          <w:szCs w:val="20"/>
        </w:rPr>
        <w:t xml:space="preserve"> brick-and-mortar and omnichannel markets</w:t>
      </w:r>
      <w:r w:rsidRPr="004C0B2A">
        <w:rPr>
          <w:rFonts w:ascii="Arial" w:hAnsi="Arial" w:cs="Arial"/>
          <w:b/>
          <w:bCs/>
          <w:sz w:val="20"/>
          <w:szCs w:val="20"/>
        </w:rPr>
        <w:t>,</w:t>
      </w:r>
      <w:r w:rsidRPr="004C0B2A">
        <w:rPr>
          <w:rFonts w:ascii="Arial" w:hAnsi="Arial" w:cs="Arial"/>
          <w:sz w:val="20"/>
          <w:szCs w:val="20"/>
        </w:rPr>
        <w:t xml:space="preserve"> expanding its design, sourcing, and distribution capabilities across multiple product categories and retail channels.</w:t>
      </w:r>
    </w:p>
    <w:p w14:paraId="6B43BE5A" w14:textId="77777777" w:rsidR="00CD61DB" w:rsidRPr="004C0B2A" w:rsidRDefault="00CD61DB" w:rsidP="00EC0E67">
      <w:pPr>
        <w:pStyle w:val="NormalWeb"/>
        <w:spacing w:before="0" w:beforeAutospacing="0" w:after="0" w:afterAutospacing="0"/>
        <w:rPr>
          <w:rFonts w:ascii="Arial" w:hAnsi="Arial" w:cs="Arial"/>
          <w:sz w:val="20"/>
          <w:szCs w:val="20"/>
        </w:rPr>
      </w:pPr>
    </w:p>
    <w:p w14:paraId="7B394DA0" w14:textId="7948F751" w:rsidR="00AF0CFB" w:rsidRPr="004C0B2A" w:rsidRDefault="00AF0CFB" w:rsidP="008B27A9">
      <w:pPr>
        <w:pStyle w:val="NormalWeb"/>
        <w:spacing w:before="0" w:beforeAutospacing="0" w:after="0" w:afterAutospacing="0"/>
        <w:rPr>
          <w:rFonts w:ascii="Arial" w:hAnsi="Arial" w:cs="Arial"/>
          <w:sz w:val="20"/>
          <w:szCs w:val="20"/>
        </w:rPr>
      </w:pPr>
      <w:r w:rsidRPr="004C0B2A">
        <w:rPr>
          <w:rFonts w:ascii="Arial" w:hAnsi="Arial" w:cs="Arial"/>
          <w:sz w:val="20"/>
          <w:szCs w:val="20"/>
        </w:rPr>
        <w:t xml:space="preserve">Walker Edison will be </w:t>
      </w:r>
      <w:r w:rsidRPr="004C0B2A">
        <w:rPr>
          <w:rStyle w:val="Strong"/>
          <w:rFonts w:ascii="Arial" w:eastAsiaTheme="majorEastAsia" w:hAnsi="Arial" w:cs="Arial"/>
          <w:b w:val="0"/>
          <w:bCs w:val="0"/>
          <w:sz w:val="20"/>
          <w:szCs w:val="20"/>
        </w:rPr>
        <w:t>fully integrated into Twin Star Home</w:t>
      </w:r>
      <w:r w:rsidRPr="004C0B2A">
        <w:rPr>
          <w:rFonts w:ascii="Arial" w:hAnsi="Arial" w:cs="Arial"/>
          <w:sz w:val="20"/>
          <w:szCs w:val="20"/>
        </w:rPr>
        <w:t>, aligning with the company’s mission to deliver thoughtfully designed, high-quality products that enhance everyday living. The integration will leverage Twin Star Home’s robust infrastructure and brand portfolio</w:t>
      </w:r>
      <w:r w:rsidR="005B504E" w:rsidRPr="004C0B2A">
        <w:rPr>
          <w:rFonts w:ascii="Arial" w:hAnsi="Arial" w:cs="Arial"/>
          <w:sz w:val="20"/>
          <w:szCs w:val="20"/>
        </w:rPr>
        <w:t xml:space="preserve">, </w:t>
      </w:r>
      <w:r w:rsidR="00DE28AC" w:rsidRPr="004C0B2A">
        <w:rPr>
          <w:rFonts w:ascii="Arial" w:hAnsi="Arial" w:cs="Arial"/>
          <w:sz w:val="20"/>
          <w:szCs w:val="20"/>
        </w:rPr>
        <w:t xml:space="preserve">combined </w:t>
      </w:r>
      <w:r w:rsidR="005B504E" w:rsidRPr="004C0B2A">
        <w:rPr>
          <w:rFonts w:ascii="Arial" w:hAnsi="Arial" w:cs="Arial"/>
          <w:sz w:val="20"/>
          <w:szCs w:val="20"/>
        </w:rPr>
        <w:t>with Walker Edison</w:t>
      </w:r>
      <w:r w:rsidR="00DE28AC" w:rsidRPr="004C0B2A">
        <w:rPr>
          <w:rFonts w:ascii="Arial" w:hAnsi="Arial" w:cs="Arial"/>
          <w:sz w:val="20"/>
          <w:szCs w:val="20"/>
        </w:rPr>
        <w:t>’</w:t>
      </w:r>
      <w:r w:rsidR="005B504E" w:rsidRPr="004C0B2A">
        <w:rPr>
          <w:rFonts w:ascii="Arial" w:hAnsi="Arial" w:cs="Arial"/>
          <w:sz w:val="20"/>
          <w:szCs w:val="20"/>
        </w:rPr>
        <w:t>s strong e-commerce platform and product design pipeline,</w:t>
      </w:r>
      <w:r w:rsidRPr="004C0B2A">
        <w:rPr>
          <w:rFonts w:ascii="Arial" w:hAnsi="Arial" w:cs="Arial"/>
          <w:sz w:val="20"/>
          <w:szCs w:val="20"/>
        </w:rPr>
        <w:t xml:space="preserve"> to drive continued growth and operational excellence.</w:t>
      </w:r>
    </w:p>
    <w:p w14:paraId="2E7CD8CE" w14:textId="77777777" w:rsidR="00CD61DB" w:rsidRPr="004C0B2A" w:rsidRDefault="00CD61DB" w:rsidP="00EC0E67">
      <w:pPr>
        <w:pStyle w:val="NormalWeb"/>
        <w:spacing w:before="0" w:beforeAutospacing="0" w:after="0" w:afterAutospacing="0"/>
        <w:rPr>
          <w:rFonts w:ascii="Arial" w:hAnsi="Arial" w:cs="Arial"/>
          <w:sz w:val="20"/>
          <w:szCs w:val="20"/>
        </w:rPr>
      </w:pPr>
    </w:p>
    <w:p w14:paraId="6063EAC9" w14:textId="589AF977" w:rsidR="00AF0CFB" w:rsidRPr="004C0B2A" w:rsidRDefault="00AF0CFB" w:rsidP="008B27A9">
      <w:pPr>
        <w:pStyle w:val="NormalWeb"/>
        <w:spacing w:before="0" w:beforeAutospacing="0" w:after="0" w:afterAutospacing="0"/>
        <w:rPr>
          <w:rFonts w:ascii="Arial" w:hAnsi="Arial" w:cs="Arial"/>
          <w:sz w:val="20"/>
          <w:szCs w:val="20"/>
        </w:rPr>
      </w:pPr>
      <w:r w:rsidRPr="004C0B2A">
        <w:rPr>
          <w:rFonts w:ascii="Arial" w:hAnsi="Arial" w:cs="Arial"/>
          <w:sz w:val="20"/>
          <w:szCs w:val="20"/>
        </w:rPr>
        <w:t xml:space="preserve">“We are thrilled to welcome Walker Edison to the Twin Star Home family,” said </w:t>
      </w:r>
      <w:r w:rsidR="009670B0" w:rsidRPr="004C0B2A">
        <w:rPr>
          <w:rFonts w:ascii="Arial" w:hAnsi="Arial" w:cs="Arial"/>
          <w:sz w:val="20"/>
          <w:szCs w:val="20"/>
        </w:rPr>
        <w:t>Todd Outten</w:t>
      </w:r>
      <w:r w:rsidRPr="004C0B2A">
        <w:rPr>
          <w:rFonts w:ascii="Arial" w:hAnsi="Arial" w:cs="Arial"/>
          <w:sz w:val="20"/>
          <w:szCs w:val="20"/>
        </w:rPr>
        <w:t xml:space="preserve">, </w:t>
      </w:r>
      <w:r w:rsidR="009D7B4F" w:rsidRPr="004C0B2A">
        <w:rPr>
          <w:rFonts w:ascii="Arial" w:hAnsi="Arial" w:cs="Arial"/>
          <w:sz w:val="20"/>
          <w:szCs w:val="20"/>
        </w:rPr>
        <w:t xml:space="preserve">President </w:t>
      </w:r>
      <w:r w:rsidR="004C0B2A" w:rsidRPr="004C0B2A">
        <w:rPr>
          <w:rFonts w:ascii="Arial" w:hAnsi="Arial" w:cs="Arial"/>
          <w:sz w:val="20"/>
          <w:szCs w:val="20"/>
        </w:rPr>
        <w:t xml:space="preserve">and </w:t>
      </w:r>
      <w:r w:rsidR="000802C7" w:rsidRPr="004C0B2A">
        <w:rPr>
          <w:rFonts w:ascii="Arial" w:hAnsi="Arial" w:cs="Arial"/>
          <w:sz w:val="20"/>
          <w:szCs w:val="20"/>
        </w:rPr>
        <w:t>C</w:t>
      </w:r>
      <w:r w:rsidR="00DF47A3" w:rsidRPr="004C0B2A">
        <w:rPr>
          <w:rFonts w:ascii="Arial" w:hAnsi="Arial" w:cs="Arial"/>
          <w:sz w:val="20"/>
          <w:szCs w:val="20"/>
        </w:rPr>
        <w:t>hief Commercial Officer</w:t>
      </w:r>
      <w:r w:rsidRPr="004C0B2A">
        <w:rPr>
          <w:rFonts w:ascii="Arial" w:hAnsi="Arial" w:cs="Arial"/>
          <w:sz w:val="20"/>
          <w:szCs w:val="20"/>
        </w:rPr>
        <w:t xml:space="preserve"> of Twin Star Home. “Walker Edison’s expertise in e-commerce and its proven track record of delivering modern, affordable designs complement our existing strengths and accelerate our shared vision of transforming how consumers shop for and enjoy their homes.”</w:t>
      </w:r>
    </w:p>
    <w:p w14:paraId="27616AA0" w14:textId="77777777" w:rsidR="00CD61DB" w:rsidRPr="004C0B2A" w:rsidRDefault="00CD61DB" w:rsidP="00EC0E67">
      <w:pPr>
        <w:pStyle w:val="NormalWeb"/>
        <w:spacing w:before="0" w:beforeAutospacing="0" w:after="0" w:afterAutospacing="0"/>
        <w:rPr>
          <w:rFonts w:ascii="Arial" w:hAnsi="Arial" w:cs="Arial"/>
          <w:sz w:val="20"/>
          <w:szCs w:val="20"/>
        </w:rPr>
      </w:pPr>
    </w:p>
    <w:p w14:paraId="63475629" w14:textId="77777777" w:rsidR="00AF0CFB" w:rsidRPr="004C0B2A" w:rsidRDefault="00AF0CFB" w:rsidP="00094F10">
      <w:pPr>
        <w:pStyle w:val="NormalWeb"/>
        <w:spacing w:before="0" w:beforeAutospacing="0" w:after="0" w:afterAutospacing="0"/>
        <w:rPr>
          <w:rFonts w:ascii="Arial" w:hAnsi="Arial" w:cs="Arial"/>
          <w:b/>
          <w:bCs/>
          <w:sz w:val="20"/>
          <w:szCs w:val="20"/>
        </w:rPr>
      </w:pPr>
      <w:r w:rsidRPr="004C0B2A">
        <w:rPr>
          <w:rFonts w:ascii="Arial" w:hAnsi="Arial" w:cs="Arial"/>
          <w:b/>
          <w:bCs/>
          <w:sz w:val="20"/>
          <w:szCs w:val="20"/>
        </w:rPr>
        <w:t>About Twin Star Home</w:t>
      </w:r>
    </w:p>
    <w:p w14:paraId="2F24F8AD" w14:textId="77777777" w:rsidR="00CD61DB" w:rsidRPr="004C0B2A" w:rsidRDefault="00CD61DB" w:rsidP="008B27A9">
      <w:pPr>
        <w:pStyle w:val="NormalWeb"/>
        <w:spacing w:before="0" w:beforeAutospacing="0" w:after="0" w:afterAutospacing="0"/>
        <w:rPr>
          <w:rFonts w:ascii="Arial" w:hAnsi="Arial" w:cs="Arial"/>
          <w:b/>
          <w:bCs/>
          <w:sz w:val="20"/>
          <w:szCs w:val="20"/>
        </w:rPr>
      </w:pPr>
    </w:p>
    <w:p w14:paraId="42C14F04" w14:textId="0366F592" w:rsidR="00AF0CFB" w:rsidRPr="004C0B2A" w:rsidRDefault="00AF0CFB" w:rsidP="008B27A9">
      <w:pPr>
        <w:pStyle w:val="NormalWeb"/>
        <w:spacing w:before="0" w:beforeAutospacing="0" w:after="0" w:afterAutospacing="0"/>
        <w:rPr>
          <w:rFonts w:ascii="Arial" w:hAnsi="Arial" w:cs="Arial"/>
          <w:sz w:val="20"/>
          <w:szCs w:val="20"/>
        </w:rPr>
      </w:pPr>
      <w:r w:rsidRPr="004C0B2A">
        <w:rPr>
          <w:rFonts w:ascii="Arial" w:hAnsi="Arial" w:cs="Arial"/>
          <w:sz w:val="20"/>
          <w:szCs w:val="20"/>
        </w:rPr>
        <w:t xml:space="preserve">Twin Star Home is a leading omnichannel, consumer-driven designer and manufacturer of indoor and outdoor living products to enhance the home experience. Twin Star Home’s award-winning designs of functional, beautiful, and affordable product lines include furnishings for the living room, home office, and bathroom, many with integrated technology and media solutions. Outdoor living products include modular seating collections, dining tables, bars, fire pits, covers, and accessories. Twin Star Home is recognized for its trusted national brands: </w:t>
      </w:r>
      <w:proofErr w:type="spellStart"/>
      <w:r w:rsidRPr="004C0B2A">
        <w:rPr>
          <w:rFonts w:ascii="Arial" w:hAnsi="Arial" w:cs="Arial"/>
          <w:sz w:val="20"/>
          <w:szCs w:val="20"/>
        </w:rPr>
        <w:t>ClassicFlame</w:t>
      </w:r>
      <w:proofErr w:type="spellEnd"/>
      <w:r w:rsidRPr="004C0B2A">
        <w:rPr>
          <w:rFonts w:ascii="Arial" w:hAnsi="Arial" w:cs="Arial"/>
          <w:sz w:val="20"/>
          <w:szCs w:val="20"/>
        </w:rPr>
        <w:t xml:space="preserve">®, TK Classics®, Classic Accessories®, </w:t>
      </w:r>
      <w:proofErr w:type="spellStart"/>
      <w:r w:rsidRPr="004C0B2A">
        <w:rPr>
          <w:rFonts w:ascii="Arial" w:hAnsi="Arial" w:cs="Arial"/>
          <w:sz w:val="20"/>
          <w:szCs w:val="20"/>
        </w:rPr>
        <w:t>Bell’O</w:t>
      </w:r>
      <w:proofErr w:type="spellEnd"/>
      <w:r w:rsidRPr="004C0B2A">
        <w:rPr>
          <w:rFonts w:ascii="Arial" w:hAnsi="Arial" w:cs="Arial"/>
          <w:sz w:val="20"/>
          <w:szCs w:val="20"/>
        </w:rPr>
        <w:t xml:space="preserve">®, Duck Covers™, </w:t>
      </w:r>
      <w:proofErr w:type="spellStart"/>
      <w:r w:rsidRPr="004C0B2A">
        <w:rPr>
          <w:rFonts w:ascii="Arial" w:hAnsi="Arial" w:cs="Arial"/>
          <w:sz w:val="20"/>
          <w:szCs w:val="20"/>
        </w:rPr>
        <w:t>Tresanti</w:t>
      </w:r>
      <w:proofErr w:type="spellEnd"/>
      <w:r w:rsidRPr="004C0B2A">
        <w:rPr>
          <w:rFonts w:ascii="Arial" w:hAnsi="Arial" w:cs="Arial"/>
          <w:sz w:val="20"/>
          <w:szCs w:val="20"/>
        </w:rPr>
        <w:t xml:space="preserve">® and </w:t>
      </w:r>
      <w:proofErr w:type="spellStart"/>
      <w:r w:rsidRPr="004C0B2A">
        <w:rPr>
          <w:rFonts w:ascii="Arial" w:hAnsi="Arial" w:cs="Arial"/>
          <w:sz w:val="20"/>
          <w:szCs w:val="20"/>
        </w:rPr>
        <w:t>ChimneyFree</w:t>
      </w:r>
      <w:proofErr w:type="spellEnd"/>
      <w:r w:rsidRPr="004C0B2A">
        <w:rPr>
          <w:rFonts w:ascii="Arial" w:hAnsi="Arial" w:cs="Arial"/>
          <w:sz w:val="20"/>
          <w:szCs w:val="20"/>
        </w:rPr>
        <w:t xml:space="preserve">®, and licensed brand partnerships with </w:t>
      </w:r>
      <w:proofErr w:type="spellStart"/>
      <w:r w:rsidRPr="004C0B2A">
        <w:rPr>
          <w:rFonts w:ascii="Arial" w:hAnsi="Arial" w:cs="Arial"/>
          <w:sz w:val="20"/>
          <w:szCs w:val="20"/>
        </w:rPr>
        <w:t>duraflame</w:t>
      </w:r>
      <w:proofErr w:type="spellEnd"/>
      <w:r w:rsidRPr="004C0B2A">
        <w:rPr>
          <w:rFonts w:ascii="Arial" w:hAnsi="Arial" w:cs="Arial"/>
          <w:sz w:val="20"/>
          <w:szCs w:val="20"/>
        </w:rPr>
        <w:t>®, John Deere and Craftsman.</w:t>
      </w:r>
      <w:r w:rsidR="00DE28AC" w:rsidRPr="004C0B2A">
        <w:rPr>
          <w:rFonts w:ascii="Arial" w:hAnsi="Arial" w:cs="Arial"/>
          <w:sz w:val="20"/>
          <w:szCs w:val="20"/>
        </w:rPr>
        <w:t xml:space="preserve"> Learn more at </w:t>
      </w:r>
      <w:hyperlink r:id="rId8" w:tgtFrame="_blank" w:history="1">
        <w:r w:rsidR="00DE28AC" w:rsidRPr="004C0B2A">
          <w:rPr>
            <w:rStyle w:val="Hyperlink"/>
            <w:rFonts w:ascii="Arial" w:eastAsiaTheme="majorEastAsia" w:hAnsi="Arial" w:cs="Arial"/>
            <w:sz w:val="20"/>
            <w:szCs w:val="20"/>
          </w:rPr>
          <w:t>www.twinstarhome.com</w:t>
        </w:r>
      </w:hyperlink>
      <w:r w:rsidR="00DE28AC" w:rsidRPr="004C0B2A">
        <w:rPr>
          <w:rFonts w:ascii="Arial" w:hAnsi="Arial" w:cs="Arial"/>
          <w:sz w:val="20"/>
          <w:szCs w:val="20"/>
        </w:rPr>
        <w:t>.</w:t>
      </w:r>
    </w:p>
    <w:p w14:paraId="5CF2BD91" w14:textId="77777777" w:rsidR="00CD61DB" w:rsidRPr="004C0B2A" w:rsidRDefault="00CD61DB" w:rsidP="00EC0E67">
      <w:pPr>
        <w:pStyle w:val="NormalWeb"/>
        <w:spacing w:before="0" w:beforeAutospacing="0" w:after="0" w:afterAutospacing="0"/>
        <w:rPr>
          <w:rFonts w:ascii="Arial" w:hAnsi="Arial" w:cs="Arial"/>
          <w:sz w:val="20"/>
          <w:szCs w:val="20"/>
        </w:rPr>
      </w:pPr>
    </w:p>
    <w:p w14:paraId="3936F644" w14:textId="6AF800F1" w:rsidR="000D2788" w:rsidRPr="004C0B2A" w:rsidRDefault="009670B0" w:rsidP="00094F10">
      <w:pPr>
        <w:pStyle w:val="NormalWeb"/>
        <w:spacing w:before="0" w:beforeAutospacing="0" w:after="0" w:afterAutospacing="0"/>
        <w:rPr>
          <w:rFonts w:ascii="Arial" w:hAnsi="Arial" w:cs="Arial"/>
          <w:b/>
          <w:bCs/>
          <w:color w:val="000000"/>
          <w:sz w:val="20"/>
          <w:szCs w:val="20"/>
        </w:rPr>
      </w:pPr>
      <w:r w:rsidRPr="004C0B2A">
        <w:rPr>
          <w:rFonts w:ascii="Arial" w:hAnsi="Arial" w:cs="Arial"/>
          <w:b/>
          <w:bCs/>
          <w:color w:val="000000"/>
          <w:sz w:val="20"/>
          <w:szCs w:val="20"/>
        </w:rPr>
        <w:t>About Walker Edison</w:t>
      </w:r>
    </w:p>
    <w:p w14:paraId="43D51047" w14:textId="77777777" w:rsidR="00CD61DB" w:rsidRPr="004C0B2A" w:rsidRDefault="00CD61DB" w:rsidP="008B27A9">
      <w:pPr>
        <w:pStyle w:val="NormalWeb"/>
        <w:spacing w:before="0" w:beforeAutospacing="0" w:after="0" w:afterAutospacing="0"/>
        <w:rPr>
          <w:rFonts w:ascii="Arial" w:hAnsi="Arial" w:cs="Arial"/>
          <w:sz w:val="20"/>
          <w:szCs w:val="20"/>
        </w:rPr>
      </w:pPr>
    </w:p>
    <w:p w14:paraId="0C925D88" w14:textId="47DBC609" w:rsidR="000D2788" w:rsidRPr="004C0B2A" w:rsidRDefault="000D2788" w:rsidP="008B27A9">
      <w:pPr>
        <w:pStyle w:val="NormalWeb"/>
        <w:spacing w:before="0" w:beforeAutospacing="0" w:after="0" w:afterAutospacing="0"/>
        <w:rPr>
          <w:rFonts w:ascii="Arial" w:hAnsi="Arial" w:cs="Arial"/>
          <w:sz w:val="20"/>
          <w:szCs w:val="20"/>
        </w:rPr>
      </w:pPr>
      <w:r w:rsidRPr="004C0B2A">
        <w:rPr>
          <w:rFonts w:ascii="Arial" w:hAnsi="Arial" w:cs="Arial"/>
          <w:sz w:val="20"/>
          <w:szCs w:val="20"/>
        </w:rPr>
        <w:t xml:space="preserve">Since 2006, Walker Edison has been a leader in e-commerce furniture and continues to partner with some of the largest retailers in the industry. By focusing on trending styles, design innovation, and an approachable price point, Walker Edison </w:t>
      </w:r>
      <w:proofErr w:type="gramStart"/>
      <w:r w:rsidRPr="004C0B2A">
        <w:rPr>
          <w:rFonts w:ascii="Arial" w:hAnsi="Arial" w:cs="Arial"/>
          <w:sz w:val="20"/>
          <w:szCs w:val="20"/>
        </w:rPr>
        <w:t>is able to</w:t>
      </w:r>
      <w:proofErr w:type="gramEnd"/>
      <w:r w:rsidRPr="004C0B2A">
        <w:rPr>
          <w:rFonts w:ascii="Arial" w:hAnsi="Arial" w:cs="Arial"/>
          <w:sz w:val="20"/>
          <w:szCs w:val="20"/>
        </w:rPr>
        <w:t xml:space="preserve"> bring beautiful, high-quality pieces to people who value convenience and affordability. Walker Edison is headquartered in Salt Lake City, UT, and has operations in Brazil, Vietnam, China, and across the United States.</w:t>
      </w:r>
    </w:p>
    <w:p w14:paraId="6EA9A068" w14:textId="77777777" w:rsidR="00174095" w:rsidRPr="004C0B2A" w:rsidRDefault="00174095" w:rsidP="00094F10">
      <w:pPr>
        <w:spacing w:after="0" w:line="240" w:lineRule="auto"/>
        <w:rPr>
          <w:rFonts w:ascii="Arial" w:hAnsi="Arial" w:cs="Arial"/>
          <w:b/>
          <w:bCs/>
          <w:sz w:val="20"/>
          <w:szCs w:val="20"/>
        </w:rPr>
      </w:pPr>
    </w:p>
    <w:p w14:paraId="582C6A90" w14:textId="77777777" w:rsidR="004C0B2A" w:rsidRPr="004C0B2A" w:rsidRDefault="004C0B2A" w:rsidP="004C0B2A">
      <w:pPr>
        <w:spacing w:after="0" w:line="240" w:lineRule="auto"/>
        <w:rPr>
          <w:rFonts w:ascii="Arial" w:eastAsia="Aptos" w:hAnsi="Arial" w:cs="Arial"/>
          <w:kern w:val="0"/>
          <w:sz w:val="20"/>
          <w:szCs w:val="20"/>
          <w14:ligatures w14:val="none"/>
        </w:rPr>
      </w:pPr>
      <w:r w:rsidRPr="004C0B2A">
        <w:rPr>
          <w:rFonts w:ascii="Arial" w:eastAsia="Aptos" w:hAnsi="Arial" w:cs="Arial"/>
          <w:b/>
          <w:bCs/>
          <w:kern w:val="0"/>
          <w:sz w:val="20"/>
          <w:szCs w:val="20"/>
          <w14:ligatures w14:val="none"/>
        </w:rPr>
        <w:t xml:space="preserve">About </w:t>
      </w:r>
      <w:proofErr w:type="spellStart"/>
      <w:r w:rsidRPr="004C0B2A">
        <w:rPr>
          <w:rFonts w:ascii="Arial" w:eastAsia="Aptos" w:hAnsi="Arial" w:cs="Arial"/>
          <w:b/>
          <w:bCs/>
          <w:kern w:val="0"/>
          <w:sz w:val="20"/>
          <w:szCs w:val="20"/>
          <w14:ligatures w14:val="none"/>
        </w:rPr>
        <w:t>ZCG</w:t>
      </w:r>
      <w:proofErr w:type="spellEnd"/>
    </w:p>
    <w:p w14:paraId="3B00F95E" w14:textId="77777777" w:rsidR="004C0B2A" w:rsidRPr="004C0B2A" w:rsidRDefault="004C0B2A" w:rsidP="004C0B2A">
      <w:pPr>
        <w:spacing w:after="0" w:line="240" w:lineRule="auto"/>
        <w:rPr>
          <w:rFonts w:ascii="Arial" w:eastAsia="Aptos" w:hAnsi="Arial" w:cs="Arial"/>
          <w:kern w:val="0"/>
          <w:sz w:val="20"/>
          <w:szCs w:val="20"/>
          <w14:ligatures w14:val="none"/>
        </w:rPr>
      </w:pPr>
      <w:r w:rsidRPr="004C0B2A">
        <w:rPr>
          <w:rFonts w:ascii="Arial" w:eastAsia="Aptos" w:hAnsi="Arial" w:cs="Arial"/>
          <w:kern w:val="0"/>
          <w:sz w:val="20"/>
          <w:szCs w:val="20"/>
          <w14:ligatures w14:val="none"/>
        </w:rPr>
        <w:br/>
      </w:r>
      <w:proofErr w:type="spellStart"/>
      <w:r w:rsidRPr="004C0B2A">
        <w:rPr>
          <w:rFonts w:ascii="Arial" w:eastAsia="Aptos" w:hAnsi="Arial" w:cs="Arial"/>
          <w:kern w:val="0"/>
          <w:sz w:val="20"/>
          <w:szCs w:val="20"/>
          <w14:ligatures w14:val="none"/>
        </w:rPr>
        <w:t>ZCG</w:t>
      </w:r>
      <w:proofErr w:type="spellEnd"/>
      <w:r w:rsidRPr="004C0B2A">
        <w:rPr>
          <w:rFonts w:ascii="Arial" w:eastAsia="Aptos" w:hAnsi="Arial" w:cs="Arial"/>
          <w:kern w:val="0"/>
          <w:sz w:val="20"/>
          <w:szCs w:val="20"/>
          <w14:ligatures w14:val="none"/>
        </w:rPr>
        <w:t xml:space="preserve"> is a leading, privately held global firm comprised of private markets asset management, business consulting services, and technology development and solutions.</w:t>
      </w:r>
    </w:p>
    <w:p w14:paraId="2F6B69EF" w14:textId="77777777" w:rsidR="004C0B2A" w:rsidRPr="004C0B2A" w:rsidRDefault="004C0B2A" w:rsidP="004C0B2A">
      <w:pPr>
        <w:spacing w:after="0" w:line="240" w:lineRule="auto"/>
        <w:rPr>
          <w:rFonts w:ascii="Arial" w:eastAsia="Aptos" w:hAnsi="Arial" w:cs="Arial"/>
          <w:kern w:val="0"/>
          <w:sz w:val="20"/>
          <w:szCs w:val="20"/>
          <w14:ligatures w14:val="none"/>
        </w:rPr>
      </w:pPr>
      <w:r w:rsidRPr="004C0B2A">
        <w:rPr>
          <w:rFonts w:ascii="Arial" w:eastAsia="Aptos" w:hAnsi="Arial" w:cs="Arial"/>
          <w:kern w:val="0"/>
          <w:sz w:val="20"/>
          <w:szCs w:val="20"/>
          <w14:ligatures w14:val="none"/>
        </w:rPr>
        <w:t> </w:t>
      </w:r>
    </w:p>
    <w:p w14:paraId="46CBC70C" w14:textId="77777777" w:rsidR="004C0B2A" w:rsidRPr="004C0B2A" w:rsidRDefault="004C0B2A" w:rsidP="004C0B2A">
      <w:pPr>
        <w:spacing w:after="0" w:line="240" w:lineRule="auto"/>
        <w:rPr>
          <w:rFonts w:ascii="Arial" w:eastAsia="Aptos" w:hAnsi="Arial" w:cs="Arial"/>
          <w:kern w:val="0"/>
          <w:sz w:val="20"/>
          <w:szCs w:val="20"/>
          <w14:ligatures w14:val="none"/>
        </w:rPr>
      </w:pPr>
      <w:proofErr w:type="spellStart"/>
      <w:r w:rsidRPr="004C0B2A">
        <w:rPr>
          <w:rFonts w:ascii="Arial" w:eastAsia="Aptos" w:hAnsi="Arial" w:cs="Arial"/>
          <w:kern w:val="0"/>
          <w:sz w:val="20"/>
          <w:szCs w:val="20"/>
          <w14:ligatures w14:val="none"/>
        </w:rPr>
        <w:lastRenderedPageBreak/>
        <w:t>ZCG’s</w:t>
      </w:r>
      <w:proofErr w:type="spellEnd"/>
      <w:r w:rsidRPr="004C0B2A">
        <w:rPr>
          <w:rFonts w:ascii="Arial" w:eastAsia="Aptos" w:hAnsi="Arial" w:cs="Arial"/>
          <w:kern w:val="0"/>
          <w:sz w:val="20"/>
          <w:szCs w:val="20"/>
          <w14:ligatures w14:val="none"/>
        </w:rPr>
        <w:t xml:space="preserve"> investors are some of the largest and most sophisticated global institutional investors including pension funds, endowments, foundations, sovereign wealth funds, central banks, and insurance companies.</w:t>
      </w:r>
    </w:p>
    <w:p w14:paraId="129FED4E" w14:textId="77777777" w:rsidR="004C0B2A" w:rsidRPr="004C0B2A" w:rsidRDefault="004C0B2A" w:rsidP="004C0B2A">
      <w:pPr>
        <w:spacing w:after="0" w:line="240" w:lineRule="auto"/>
        <w:rPr>
          <w:rFonts w:ascii="Arial" w:eastAsia="Aptos" w:hAnsi="Arial" w:cs="Arial"/>
          <w:kern w:val="0"/>
          <w:sz w:val="20"/>
          <w:szCs w:val="20"/>
          <w14:ligatures w14:val="none"/>
        </w:rPr>
      </w:pPr>
      <w:r w:rsidRPr="004C0B2A">
        <w:rPr>
          <w:rFonts w:ascii="Arial" w:eastAsia="Aptos" w:hAnsi="Arial" w:cs="Arial"/>
          <w:kern w:val="0"/>
          <w:sz w:val="20"/>
          <w:szCs w:val="20"/>
          <w14:ligatures w14:val="none"/>
        </w:rPr>
        <w:t> </w:t>
      </w:r>
    </w:p>
    <w:p w14:paraId="1C5F89ED" w14:textId="77777777" w:rsidR="004C0B2A" w:rsidRPr="004C0B2A" w:rsidRDefault="004C0B2A" w:rsidP="004C0B2A">
      <w:pPr>
        <w:spacing w:after="0" w:line="240" w:lineRule="auto"/>
        <w:rPr>
          <w:rFonts w:ascii="Arial" w:eastAsia="Aptos" w:hAnsi="Arial" w:cs="Arial"/>
          <w:kern w:val="0"/>
          <w:sz w:val="20"/>
          <w:szCs w:val="20"/>
          <w14:ligatures w14:val="none"/>
        </w:rPr>
      </w:pPr>
      <w:r w:rsidRPr="004C0B2A">
        <w:rPr>
          <w:rFonts w:ascii="Arial" w:eastAsia="Aptos" w:hAnsi="Arial" w:cs="Arial"/>
          <w:kern w:val="0"/>
          <w:sz w:val="20"/>
          <w:szCs w:val="20"/>
          <w14:ligatures w14:val="none"/>
        </w:rPr>
        <w:t xml:space="preserve">For almost 30 years, </w:t>
      </w:r>
      <w:proofErr w:type="spellStart"/>
      <w:r w:rsidRPr="004C0B2A">
        <w:rPr>
          <w:rFonts w:ascii="Arial" w:eastAsia="Aptos" w:hAnsi="Arial" w:cs="Arial"/>
          <w:kern w:val="0"/>
          <w:sz w:val="20"/>
          <w:szCs w:val="20"/>
          <w14:ligatures w14:val="none"/>
        </w:rPr>
        <w:t>ZCG</w:t>
      </w:r>
      <w:proofErr w:type="spellEnd"/>
      <w:r w:rsidRPr="004C0B2A">
        <w:rPr>
          <w:rFonts w:ascii="Arial" w:eastAsia="Aptos" w:hAnsi="Arial" w:cs="Arial"/>
          <w:kern w:val="0"/>
          <w:sz w:val="20"/>
          <w:szCs w:val="20"/>
          <w14:ligatures w14:val="none"/>
        </w:rPr>
        <w:t xml:space="preserve"> Principals have invested tens of billions of dollars of capital. </w:t>
      </w:r>
      <w:proofErr w:type="spellStart"/>
      <w:r w:rsidRPr="004C0B2A">
        <w:rPr>
          <w:rFonts w:ascii="Arial" w:eastAsia="Aptos" w:hAnsi="Arial" w:cs="Arial"/>
          <w:kern w:val="0"/>
          <w:sz w:val="20"/>
          <w:szCs w:val="20"/>
          <w14:ligatures w14:val="none"/>
        </w:rPr>
        <w:t>ZCG</w:t>
      </w:r>
      <w:proofErr w:type="spellEnd"/>
      <w:r w:rsidRPr="004C0B2A">
        <w:rPr>
          <w:rFonts w:ascii="Arial" w:eastAsia="Aptos" w:hAnsi="Arial" w:cs="Arial"/>
          <w:kern w:val="0"/>
          <w:sz w:val="20"/>
          <w:szCs w:val="20"/>
          <w14:ligatures w14:val="none"/>
        </w:rPr>
        <w:t xml:space="preserve"> has a global team comprised of approximately 400 professionals. </w:t>
      </w:r>
      <w:proofErr w:type="spellStart"/>
      <w:r w:rsidRPr="004C0B2A">
        <w:rPr>
          <w:rFonts w:ascii="Arial" w:eastAsia="Aptos" w:hAnsi="Arial" w:cs="Arial"/>
          <w:kern w:val="0"/>
          <w:sz w:val="20"/>
          <w:szCs w:val="20"/>
          <w14:ligatures w14:val="none"/>
        </w:rPr>
        <w:t>ZCG</w:t>
      </w:r>
      <w:proofErr w:type="spellEnd"/>
      <w:r w:rsidRPr="004C0B2A">
        <w:rPr>
          <w:rFonts w:ascii="Arial" w:eastAsia="Aptos" w:hAnsi="Arial" w:cs="Arial"/>
          <w:kern w:val="0"/>
          <w:sz w:val="20"/>
          <w:szCs w:val="20"/>
          <w14:ligatures w14:val="none"/>
        </w:rPr>
        <w:t xml:space="preserve"> is headquartered in New York, with seven affiliated offices, across five countries. For more information on </w:t>
      </w:r>
      <w:proofErr w:type="spellStart"/>
      <w:r w:rsidRPr="004C0B2A">
        <w:rPr>
          <w:rFonts w:ascii="Arial" w:eastAsia="Aptos" w:hAnsi="Arial" w:cs="Arial"/>
          <w:kern w:val="0"/>
          <w:sz w:val="20"/>
          <w:szCs w:val="20"/>
          <w14:ligatures w14:val="none"/>
        </w:rPr>
        <w:t>ZCG</w:t>
      </w:r>
      <w:proofErr w:type="spellEnd"/>
      <w:r w:rsidRPr="004C0B2A">
        <w:rPr>
          <w:rFonts w:ascii="Arial" w:eastAsia="Aptos" w:hAnsi="Arial" w:cs="Arial"/>
          <w:kern w:val="0"/>
          <w:sz w:val="20"/>
          <w:szCs w:val="20"/>
          <w14:ligatures w14:val="none"/>
        </w:rPr>
        <w:t>, please visit </w:t>
      </w:r>
      <w:hyperlink r:id="rId9" w:tgtFrame="_blank" w:history="1">
        <w:r w:rsidRPr="004C0B2A">
          <w:rPr>
            <w:rFonts w:ascii="Arial" w:eastAsia="Aptos" w:hAnsi="Arial" w:cs="Arial"/>
            <w:color w:val="0000FF"/>
            <w:kern w:val="0"/>
            <w:sz w:val="20"/>
            <w:szCs w:val="20"/>
            <w:u w:val="single"/>
            <w14:ligatures w14:val="none"/>
          </w:rPr>
          <w:t>www.zcg.com</w:t>
        </w:r>
      </w:hyperlink>
      <w:r w:rsidRPr="004C0B2A">
        <w:rPr>
          <w:rFonts w:ascii="Arial" w:eastAsia="Aptos" w:hAnsi="Arial" w:cs="Arial"/>
          <w:kern w:val="0"/>
          <w:sz w:val="20"/>
          <w:szCs w:val="20"/>
          <w14:ligatures w14:val="none"/>
        </w:rPr>
        <w:t>.</w:t>
      </w:r>
    </w:p>
    <w:p w14:paraId="183B129B" w14:textId="77777777" w:rsidR="004C0B2A" w:rsidRPr="004C0B2A" w:rsidRDefault="004C0B2A" w:rsidP="004C0B2A">
      <w:pPr>
        <w:spacing w:after="0" w:line="240" w:lineRule="auto"/>
        <w:rPr>
          <w:rFonts w:ascii="Arial" w:eastAsia="Aptos" w:hAnsi="Arial" w:cs="Arial"/>
          <w:kern w:val="0"/>
          <w:sz w:val="20"/>
          <w:szCs w:val="20"/>
          <w14:ligatures w14:val="none"/>
        </w:rPr>
      </w:pPr>
      <w:r w:rsidRPr="004C0B2A">
        <w:rPr>
          <w:rFonts w:ascii="Arial" w:eastAsia="Aptos" w:hAnsi="Arial" w:cs="Arial"/>
          <w:kern w:val="0"/>
          <w:sz w:val="20"/>
          <w:szCs w:val="20"/>
          <w14:ligatures w14:val="none"/>
        </w:rPr>
        <w:t> </w:t>
      </w:r>
    </w:p>
    <w:p w14:paraId="2D457F0E" w14:textId="77777777" w:rsidR="004C0B2A" w:rsidRPr="004C0B2A" w:rsidRDefault="004C0B2A" w:rsidP="004C0B2A">
      <w:pPr>
        <w:spacing w:after="0" w:line="240" w:lineRule="auto"/>
        <w:rPr>
          <w:rFonts w:ascii="Arial" w:eastAsia="Aptos" w:hAnsi="Arial" w:cs="Arial"/>
          <w:kern w:val="0"/>
          <w:sz w:val="20"/>
          <w:szCs w:val="20"/>
          <w14:ligatures w14:val="none"/>
        </w:rPr>
      </w:pPr>
      <w:r w:rsidRPr="004C0B2A">
        <w:rPr>
          <w:rFonts w:ascii="Arial" w:eastAsia="Aptos" w:hAnsi="Arial" w:cs="Arial"/>
          <w:kern w:val="0"/>
          <w:sz w:val="20"/>
          <w:szCs w:val="20"/>
          <w14:ligatures w14:val="none"/>
        </w:rPr>
        <w:t xml:space="preserve">You can also learn more about </w:t>
      </w:r>
      <w:proofErr w:type="spellStart"/>
      <w:r w:rsidRPr="004C0B2A">
        <w:rPr>
          <w:rFonts w:ascii="Arial" w:eastAsia="Aptos" w:hAnsi="Arial" w:cs="Arial"/>
          <w:kern w:val="0"/>
          <w:sz w:val="20"/>
          <w:szCs w:val="20"/>
          <w14:ligatures w14:val="none"/>
        </w:rPr>
        <w:t>ZCGC</w:t>
      </w:r>
      <w:proofErr w:type="spellEnd"/>
      <w:r w:rsidRPr="004C0B2A">
        <w:rPr>
          <w:rFonts w:ascii="Arial" w:eastAsia="Aptos" w:hAnsi="Arial" w:cs="Arial"/>
          <w:kern w:val="0"/>
          <w:sz w:val="20"/>
          <w:szCs w:val="20"/>
          <w14:ligatures w14:val="none"/>
        </w:rPr>
        <w:t xml:space="preserve">, the business consulting services platform of </w:t>
      </w:r>
      <w:proofErr w:type="spellStart"/>
      <w:r w:rsidRPr="004C0B2A">
        <w:rPr>
          <w:rFonts w:ascii="Arial" w:eastAsia="Aptos" w:hAnsi="Arial" w:cs="Arial"/>
          <w:kern w:val="0"/>
          <w:sz w:val="20"/>
          <w:szCs w:val="20"/>
          <w14:ligatures w14:val="none"/>
        </w:rPr>
        <w:t>ZCG</w:t>
      </w:r>
      <w:proofErr w:type="spellEnd"/>
      <w:r w:rsidRPr="004C0B2A">
        <w:rPr>
          <w:rFonts w:ascii="Arial" w:eastAsia="Aptos" w:hAnsi="Arial" w:cs="Arial"/>
          <w:kern w:val="0"/>
          <w:sz w:val="20"/>
          <w:szCs w:val="20"/>
          <w14:ligatures w14:val="none"/>
        </w:rPr>
        <w:t>, at </w:t>
      </w:r>
      <w:hyperlink r:id="rId10" w:tgtFrame="_blank" w:history="1">
        <w:r w:rsidRPr="004C0B2A">
          <w:rPr>
            <w:rFonts w:ascii="Arial" w:eastAsia="Aptos" w:hAnsi="Arial" w:cs="Arial"/>
            <w:color w:val="0000FF"/>
            <w:kern w:val="0"/>
            <w:sz w:val="20"/>
            <w:szCs w:val="20"/>
            <w:u w:val="single"/>
            <w14:ligatures w14:val="none"/>
          </w:rPr>
          <w:t>www.zcgc.com</w:t>
        </w:r>
      </w:hyperlink>
      <w:r w:rsidRPr="004C0B2A">
        <w:rPr>
          <w:rFonts w:ascii="Arial" w:eastAsia="Aptos" w:hAnsi="Arial" w:cs="Arial"/>
          <w:kern w:val="0"/>
          <w:sz w:val="20"/>
          <w:szCs w:val="20"/>
          <w14:ligatures w14:val="none"/>
        </w:rPr>
        <w:t xml:space="preserve">, and explore </w:t>
      </w:r>
      <w:proofErr w:type="spellStart"/>
      <w:r w:rsidRPr="004C0B2A">
        <w:rPr>
          <w:rFonts w:ascii="Arial" w:eastAsia="Aptos" w:hAnsi="Arial" w:cs="Arial"/>
          <w:kern w:val="0"/>
          <w:sz w:val="20"/>
          <w:szCs w:val="20"/>
          <w14:ligatures w14:val="none"/>
        </w:rPr>
        <w:t>ZCG’s</w:t>
      </w:r>
      <w:proofErr w:type="spellEnd"/>
      <w:r w:rsidRPr="004C0B2A">
        <w:rPr>
          <w:rFonts w:ascii="Arial" w:eastAsia="Aptos" w:hAnsi="Arial" w:cs="Arial"/>
          <w:kern w:val="0"/>
          <w:sz w:val="20"/>
          <w:szCs w:val="20"/>
          <w14:ligatures w14:val="none"/>
        </w:rPr>
        <w:t xml:space="preserve"> technology affiliate, </w:t>
      </w:r>
      <w:proofErr w:type="spellStart"/>
      <w:r w:rsidRPr="004C0B2A">
        <w:rPr>
          <w:rFonts w:ascii="Arial" w:eastAsia="Aptos" w:hAnsi="Arial" w:cs="Arial"/>
          <w:kern w:val="0"/>
          <w:sz w:val="20"/>
          <w:szCs w:val="20"/>
          <w14:ligatures w14:val="none"/>
        </w:rPr>
        <w:t>Haptiq</w:t>
      </w:r>
      <w:proofErr w:type="spellEnd"/>
      <w:r w:rsidRPr="004C0B2A">
        <w:rPr>
          <w:rFonts w:ascii="Arial" w:eastAsia="Aptos" w:hAnsi="Arial" w:cs="Arial"/>
          <w:kern w:val="0"/>
          <w:sz w:val="20"/>
          <w:szCs w:val="20"/>
          <w14:ligatures w14:val="none"/>
        </w:rPr>
        <w:t>, at </w:t>
      </w:r>
      <w:hyperlink r:id="rId11" w:tgtFrame="_blank" w:history="1">
        <w:r w:rsidRPr="004C0B2A">
          <w:rPr>
            <w:rFonts w:ascii="Arial" w:eastAsia="Aptos" w:hAnsi="Arial" w:cs="Arial"/>
            <w:color w:val="0000FF"/>
            <w:kern w:val="0"/>
            <w:sz w:val="20"/>
            <w:szCs w:val="20"/>
            <w:u w:val="single"/>
            <w14:ligatures w14:val="none"/>
          </w:rPr>
          <w:t>www.haptiq.com</w:t>
        </w:r>
      </w:hyperlink>
      <w:r w:rsidRPr="004C0B2A">
        <w:rPr>
          <w:rFonts w:ascii="Arial" w:eastAsia="Aptos" w:hAnsi="Arial" w:cs="Arial"/>
          <w:kern w:val="0"/>
          <w:sz w:val="20"/>
          <w:szCs w:val="20"/>
          <w14:ligatures w14:val="none"/>
        </w:rPr>
        <w:t>.</w:t>
      </w:r>
    </w:p>
    <w:p w14:paraId="6B95B37A" w14:textId="77777777" w:rsidR="00DE28AC" w:rsidRPr="004C0B2A" w:rsidRDefault="00DE28AC" w:rsidP="008B27A9">
      <w:pPr>
        <w:spacing w:after="0" w:line="240" w:lineRule="auto"/>
        <w:rPr>
          <w:rFonts w:ascii="Arial" w:hAnsi="Arial" w:cs="Arial"/>
          <w:sz w:val="20"/>
          <w:szCs w:val="20"/>
        </w:rPr>
      </w:pPr>
    </w:p>
    <w:p w14:paraId="69133E5D" w14:textId="77777777" w:rsidR="00DE28AC" w:rsidRPr="004C0B2A" w:rsidRDefault="00DE28AC" w:rsidP="008B27A9">
      <w:pPr>
        <w:spacing w:after="0" w:line="240" w:lineRule="auto"/>
        <w:rPr>
          <w:rFonts w:ascii="Arial" w:hAnsi="Arial" w:cs="Arial"/>
          <w:b/>
          <w:sz w:val="20"/>
          <w:szCs w:val="20"/>
        </w:rPr>
      </w:pPr>
      <w:r w:rsidRPr="004C0B2A">
        <w:rPr>
          <w:rFonts w:ascii="Arial" w:hAnsi="Arial" w:cs="Arial"/>
          <w:b/>
          <w:sz w:val="20"/>
          <w:szCs w:val="20"/>
        </w:rPr>
        <w:t>Contacts</w:t>
      </w:r>
    </w:p>
    <w:p w14:paraId="12895D9A" w14:textId="77777777" w:rsidR="00CD61DB" w:rsidRPr="004C0B2A" w:rsidRDefault="00CD61DB" w:rsidP="00EC0E67">
      <w:pPr>
        <w:spacing w:after="0" w:line="240" w:lineRule="auto"/>
        <w:rPr>
          <w:rFonts w:ascii="Arial" w:hAnsi="Arial" w:cs="Arial"/>
          <w:b/>
          <w:bCs/>
          <w:sz w:val="20"/>
          <w:szCs w:val="20"/>
        </w:rPr>
      </w:pPr>
    </w:p>
    <w:p w14:paraId="224C571F" w14:textId="77777777" w:rsidR="00DE28AC" w:rsidRPr="004C0B2A" w:rsidRDefault="00DE28AC" w:rsidP="008B27A9">
      <w:pPr>
        <w:spacing w:after="0" w:line="240" w:lineRule="auto"/>
        <w:rPr>
          <w:rFonts w:ascii="Arial" w:hAnsi="Arial" w:cs="Arial"/>
          <w:sz w:val="20"/>
          <w:szCs w:val="20"/>
        </w:rPr>
      </w:pPr>
      <w:r w:rsidRPr="004C0B2A">
        <w:rPr>
          <w:rFonts w:ascii="Arial" w:hAnsi="Arial" w:cs="Arial"/>
          <w:sz w:val="20"/>
          <w:szCs w:val="20"/>
        </w:rPr>
        <w:t>Tim Ragones / Kate Thompson / Alexander Wolfsohn</w:t>
      </w:r>
      <w:r w:rsidRPr="004C0B2A">
        <w:rPr>
          <w:rFonts w:ascii="Arial" w:hAnsi="Arial" w:cs="Arial"/>
          <w:sz w:val="20"/>
          <w:szCs w:val="20"/>
        </w:rPr>
        <w:br/>
        <w:t>Joele Frank, Wilkinson Brimmer Katcher</w:t>
      </w:r>
      <w:r w:rsidRPr="004C0B2A">
        <w:rPr>
          <w:rFonts w:ascii="Arial" w:hAnsi="Arial" w:cs="Arial"/>
          <w:sz w:val="20"/>
          <w:szCs w:val="20"/>
        </w:rPr>
        <w:br/>
        <w:t>212-355-4449</w:t>
      </w:r>
    </w:p>
    <w:p w14:paraId="3B437016" w14:textId="77777777" w:rsidR="00DE28AC" w:rsidRPr="000D2788" w:rsidRDefault="00DE28AC" w:rsidP="008B27A9">
      <w:pPr>
        <w:pStyle w:val="NormalWeb"/>
        <w:spacing w:before="0" w:beforeAutospacing="0" w:after="0" w:afterAutospacing="0"/>
        <w:rPr>
          <w:rFonts w:ascii="Arial" w:hAnsi="Arial" w:cs="Arial"/>
          <w:sz w:val="20"/>
          <w:szCs w:val="20"/>
        </w:rPr>
      </w:pPr>
    </w:p>
    <w:p w14:paraId="28BE40B2" w14:textId="661AE12D" w:rsidR="009670B0" w:rsidRPr="000D2788" w:rsidRDefault="009670B0" w:rsidP="008B27A9">
      <w:pPr>
        <w:pStyle w:val="NormalWeb"/>
        <w:spacing w:before="0" w:beforeAutospacing="0" w:after="0" w:afterAutospacing="0"/>
        <w:rPr>
          <w:rFonts w:ascii="Arial" w:hAnsi="Arial" w:cs="Arial"/>
          <w:sz w:val="20"/>
          <w:szCs w:val="20"/>
        </w:rPr>
      </w:pPr>
    </w:p>
    <w:p w14:paraId="517C78B4" w14:textId="77777777" w:rsidR="002C3321" w:rsidRPr="00AF0CFB" w:rsidRDefault="002C3321" w:rsidP="008B27A9">
      <w:pPr>
        <w:spacing w:after="0" w:line="240" w:lineRule="auto"/>
        <w:rPr>
          <w:rFonts w:ascii="Arial" w:hAnsi="Arial" w:cs="Arial"/>
          <w:sz w:val="20"/>
          <w:szCs w:val="20"/>
        </w:rPr>
      </w:pPr>
    </w:p>
    <w:sectPr w:rsidR="002C3321" w:rsidRPr="00AF0CFB" w:rsidSect="000118E8">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47B5B" w14:textId="77777777" w:rsidR="009246E6" w:rsidRDefault="009246E6" w:rsidP="00DE28AC">
      <w:pPr>
        <w:spacing w:after="0" w:line="240" w:lineRule="auto"/>
      </w:pPr>
      <w:r>
        <w:separator/>
      </w:r>
    </w:p>
  </w:endnote>
  <w:endnote w:type="continuationSeparator" w:id="0">
    <w:p w14:paraId="0714F5BD" w14:textId="77777777" w:rsidR="009246E6" w:rsidRDefault="009246E6" w:rsidP="00DE2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2985C" w14:textId="77777777" w:rsidR="009246E6" w:rsidRDefault="009246E6" w:rsidP="00DE28AC">
      <w:pPr>
        <w:spacing w:after="0" w:line="240" w:lineRule="auto"/>
      </w:pPr>
      <w:r>
        <w:separator/>
      </w:r>
    </w:p>
  </w:footnote>
  <w:footnote w:type="continuationSeparator" w:id="0">
    <w:p w14:paraId="6FA7D6D6" w14:textId="77777777" w:rsidR="009246E6" w:rsidRDefault="009246E6" w:rsidP="00DE2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61321" w14:textId="6BE0E601" w:rsidR="00CD61DB" w:rsidRPr="00EC0E67" w:rsidRDefault="00CD61DB" w:rsidP="008A4112">
    <w:pPr>
      <w:tabs>
        <w:tab w:val="center" w:pos="4680"/>
        <w:tab w:val="right" w:pos="9360"/>
      </w:tabs>
      <w:spacing w:after="0" w:line="240" w:lineRule="auto"/>
      <w:rPr>
        <w:rFonts w:ascii="Arial" w:eastAsia="Aptos" w:hAnsi="Arial" w:cs="Arial"/>
        <w:b/>
        <w:bCs/>
        <w:sz w:val="20"/>
        <w:szCs w:val="20"/>
      </w:rPr>
    </w:pPr>
  </w:p>
  <w:p w14:paraId="597ACC90" w14:textId="66A9F2EE" w:rsidR="00DE28AC" w:rsidRDefault="00DE28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WAFVersion" w:val="5.0"/>
  </w:docVars>
  <w:rsids>
    <w:rsidRoot w:val="00AF0CFB"/>
    <w:rsid w:val="000118E8"/>
    <w:rsid w:val="000802C7"/>
    <w:rsid w:val="00094F10"/>
    <w:rsid w:val="000D2788"/>
    <w:rsid w:val="00105C32"/>
    <w:rsid w:val="00174095"/>
    <w:rsid w:val="00177EE2"/>
    <w:rsid w:val="002147FE"/>
    <w:rsid w:val="002C3321"/>
    <w:rsid w:val="00346756"/>
    <w:rsid w:val="003730EE"/>
    <w:rsid w:val="00411F1E"/>
    <w:rsid w:val="00431FBD"/>
    <w:rsid w:val="004C0B2A"/>
    <w:rsid w:val="004E082A"/>
    <w:rsid w:val="005263A2"/>
    <w:rsid w:val="005B504E"/>
    <w:rsid w:val="006009B4"/>
    <w:rsid w:val="00631154"/>
    <w:rsid w:val="00692E02"/>
    <w:rsid w:val="007F6843"/>
    <w:rsid w:val="008507F0"/>
    <w:rsid w:val="008A4112"/>
    <w:rsid w:val="008B27A9"/>
    <w:rsid w:val="008C7723"/>
    <w:rsid w:val="008F47D1"/>
    <w:rsid w:val="009246E6"/>
    <w:rsid w:val="009670B0"/>
    <w:rsid w:val="009D5CB6"/>
    <w:rsid w:val="009D7B4F"/>
    <w:rsid w:val="00AF0CFB"/>
    <w:rsid w:val="00CD61DB"/>
    <w:rsid w:val="00D24C93"/>
    <w:rsid w:val="00DE28AC"/>
    <w:rsid w:val="00DF47A3"/>
    <w:rsid w:val="00E45A2E"/>
    <w:rsid w:val="00EA68D4"/>
    <w:rsid w:val="00EB2C2E"/>
    <w:rsid w:val="00EC0E67"/>
    <w:rsid w:val="00F81EEA"/>
    <w:rsid w:val="00FC6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001AB"/>
  <w15:chartTrackingRefBased/>
  <w15:docId w15:val="{265B8461-2A51-7443-A480-E51A03680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0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0C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0C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0C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0C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0C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0C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0C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C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0C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0C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0C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0C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0C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0C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0C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0CFB"/>
    <w:rPr>
      <w:rFonts w:eastAsiaTheme="majorEastAsia" w:cstheme="majorBidi"/>
      <w:color w:val="272727" w:themeColor="text1" w:themeTint="D8"/>
    </w:rPr>
  </w:style>
  <w:style w:type="paragraph" w:styleId="Title">
    <w:name w:val="Title"/>
    <w:basedOn w:val="Normal"/>
    <w:next w:val="Normal"/>
    <w:link w:val="TitleChar"/>
    <w:uiPriority w:val="10"/>
    <w:qFormat/>
    <w:rsid w:val="00AF0C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0C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0C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0C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0CFB"/>
    <w:pPr>
      <w:spacing w:before="160"/>
      <w:jc w:val="center"/>
    </w:pPr>
    <w:rPr>
      <w:i/>
      <w:iCs/>
      <w:color w:val="404040" w:themeColor="text1" w:themeTint="BF"/>
    </w:rPr>
  </w:style>
  <w:style w:type="character" w:customStyle="1" w:styleId="QuoteChar">
    <w:name w:val="Quote Char"/>
    <w:basedOn w:val="DefaultParagraphFont"/>
    <w:link w:val="Quote"/>
    <w:uiPriority w:val="29"/>
    <w:rsid w:val="00AF0CFB"/>
    <w:rPr>
      <w:i/>
      <w:iCs/>
      <w:color w:val="404040" w:themeColor="text1" w:themeTint="BF"/>
    </w:rPr>
  </w:style>
  <w:style w:type="paragraph" w:styleId="ListParagraph">
    <w:name w:val="List Paragraph"/>
    <w:basedOn w:val="Normal"/>
    <w:uiPriority w:val="34"/>
    <w:qFormat/>
    <w:rsid w:val="00AF0CFB"/>
    <w:pPr>
      <w:ind w:left="720"/>
      <w:contextualSpacing/>
    </w:pPr>
  </w:style>
  <w:style w:type="character" w:styleId="IntenseEmphasis">
    <w:name w:val="Intense Emphasis"/>
    <w:basedOn w:val="DefaultParagraphFont"/>
    <w:uiPriority w:val="21"/>
    <w:qFormat/>
    <w:rsid w:val="00AF0CFB"/>
    <w:rPr>
      <w:i/>
      <w:iCs/>
      <w:color w:val="0F4761" w:themeColor="accent1" w:themeShade="BF"/>
    </w:rPr>
  </w:style>
  <w:style w:type="paragraph" w:styleId="IntenseQuote">
    <w:name w:val="Intense Quote"/>
    <w:basedOn w:val="Normal"/>
    <w:next w:val="Normal"/>
    <w:link w:val="IntenseQuoteChar"/>
    <w:uiPriority w:val="30"/>
    <w:qFormat/>
    <w:rsid w:val="00AF0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0CFB"/>
    <w:rPr>
      <w:i/>
      <w:iCs/>
      <w:color w:val="0F4761" w:themeColor="accent1" w:themeShade="BF"/>
    </w:rPr>
  </w:style>
  <w:style w:type="character" w:styleId="IntenseReference">
    <w:name w:val="Intense Reference"/>
    <w:basedOn w:val="DefaultParagraphFont"/>
    <w:uiPriority w:val="32"/>
    <w:qFormat/>
    <w:rsid w:val="00AF0CFB"/>
    <w:rPr>
      <w:b/>
      <w:bCs/>
      <w:smallCaps/>
      <w:color w:val="0F4761" w:themeColor="accent1" w:themeShade="BF"/>
      <w:spacing w:val="5"/>
    </w:rPr>
  </w:style>
  <w:style w:type="paragraph" w:styleId="NormalWeb">
    <w:name w:val="Normal (Web)"/>
    <w:basedOn w:val="Normal"/>
    <w:uiPriority w:val="99"/>
    <w:semiHidden/>
    <w:unhideWhenUsed/>
    <w:rsid w:val="00AF0CF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F0CFB"/>
    <w:rPr>
      <w:b/>
      <w:bCs/>
    </w:rPr>
  </w:style>
  <w:style w:type="character" w:styleId="Hyperlink">
    <w:name w:val="Hyperlink"/>
    <w:basedOn w:val="DefaultParagraphFont"/>
    <w:uiPriority w:val="99"/>
    <w:unhideWhenUsed/>
    <w:rsid w:val="00AF0CFB"/>
    <w:rPr>
      <w:color w:val="0000FF"/>
      <w:u w:val="single"/>
    </w:rPr>
  </w:style>
  <w:style w:type="paragraph" w:styleId="Header">
    <w:name w:val="header"/>
    <w:basedOn w:val="Normal"/>
    <w:link w:val="HeaderChar"/>
    <w:uiPriority w:val="99"/>
    <w:unhideWhenUsed/>
    <w:rsid w:val="00AF0CFB"/>
    <w:pPr>
      <w:tabs>
        <w:tab w:val="center" w:pos="4680"/>
        <w:tab w:val="right" w:pos="9360"/>
      </w:tabs>
      <w:spacing w:after="0" w:line="240" w:lineRule="auto"/>
    </w:pPr>
    <w:rPr>
      <w:rFonts w:ascii="Calibri" w:hAnsi="Calibri" w:cs="Calibri"/>
      <w:kern w:val="0"/>
      <w:sz w:val="22"/>
      <w:szCs w:val="22"/>
      <w14:ligatures w14:val="none"/>
    </w:rPr>
  </w:style>
  <w:style w:type="character" w:customStyle="1" w:styleId="HeaderChar">
    <w:name w:val="Header Char"/>
    <w:basedOn w:val="DefaultParagraphFont"/>
    <w:link w:val="Header"/>
    <w:uiPriority w:val="99"/>
    <w:rsid w:val="00AF0CFB"/>
    <w:rPr>
      <w:rFonts w:ascii="Calibri" w:hAnsi="Calibri" w:cs="Calibri"/>
      <w:kern w:val="0"/>
      <w:sz w:val="22"/>
      <w:szCs w:val="22"/>
      <w14:ligatures w14:val="none"/>
    </w:rPr>
  </w:style>
  <w:style w:type="paragraph" w:styleId="Revision">
    <w:name w:val="Revision"/>
    <w:hidden/>
    <w:uiPriority w:val="99"/>
    <w:semiHidden/>
    <w:rsid w:val="004E082A"/>
    <w:pPr>
      <w:spacing w:after="0" w:line="240" w:lineRule="auto"/>
    </w:pPr>
  </w:style>
  <w:style w:type="paragraph" w:styleId="Footer">
    <w:name w:val="footer"/>
    <w:basedOn w:val="Normal"/>
    <w:link w:val="FooterChar"/>
    <w:uiPriority w:val="99"/>
    <w:unhideWhenUsed/>
    <w:rsid w:val="00DE2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8AC"/>
  </w:style>
  <w:style w:type="character" w:styleId="UnresolvedMention">
    <w:name w:val="Unresolved Mention"/>
    <w:basedOn w:val="DefaultParagraphFont"/>
    <w:uiPriority w:val="99"/>
    <w:semiHidden/>
    <w:unhideWhenUsed/>
    <w:rsid w:val="00373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nstarhome.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url.us.m.mimecastprotect.com/s/DfngCG69VAHXzoznTWIZuBApnF?domain=cts.businesswire.com" TargetMode="External"/><Relationship Id="rId5" Type="http://schemas.openxmlformats.org/officeDocument/2006/relationships/endnotes" Target="endnotes.xml"/><Relationship Id="rId10" Type="http://schemas.openxmlformats.org/officeDocument/2006/relationships/hyperlink" Target="https://url.us.m.mimecastprotect.com/s/7yMJCDk0VxSG8Q8pfBFZujZepx?domain=cts.businesswire.com" TargetMode="External"/><Relationship Id="rId4" Type="http://schemas.openxmlformats.org/officeDocument/2006/relationships/footnotes" Target="footnotes.xml"/><Relationship Id="rId9" Type="http://schemas.openxmlformats.org/officeDocument/2006/relationships/hyperlink" Target="https://url.us.m.mimecastprotect.com/s/zJcaCyPmvzHVBEBDURs6uxmK9c?domain=zcg.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a39196d-ff27-4755-b7d8-74b552396865}" enabled="0" method="" siteId="{da39196d-ff27-4755-b7d8-74b552396865}"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2</Pages>
  <Words>612</Words>
  <Characters>3843</Characters>
  <Application>Microsoft Office Word</Application>
  <DocSecurity>0</DocSecurity>
  <Lines>85</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Scarbrough</dc:creator>
  <cp:keywords/>
  <dc:description/>
  <cp:lastModifiedBy>Joele Frank</cp:lastModifiedBy>
  <cp:revision>3</cp:revision>
  <dcterms:created xsi:type="dcterms:W3CDTF">2025-10-21T22:50:00Z</dcterms:created>
  <dcterms:modified xsi:type="dcterms:W3CDTF">2025-10-22T01:16:00Z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DocumentId">
    <vt:lpwstr>4916-8980-5939</vt:lpwstr>
  </property>
</Properties>
</file>